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宋体" w:hAnsi="宋体" w:eastAsia="宋体" w:cs="宋体"/>
          <w:b/>
          <w:bCs/>
          <w:sz w:val="28"/>
          <w:szCs w:val="28"/>
          <w:lang w:val="en-US" w:eastAsia="zh-CN"/>
        </w:rPr>
      </w:pPr>
      <w:r>
        <w:rPr>
          <w:rFonts w:hint="eastAsia" w:ascii="宋体" w:hAnsi="宋体" w:cs="宋体"/>
          <w:b/>
          <w:bCs/>
          <w:sz w:val="28"/>
          <w:szCs w:val="28"/>
          <w:lang w:val="zh-TW" w:eastAsia="zh-TW"/>
        </w:rPr>
        <w:t>上海市公共卫生临床中心</w:t>
      </w:r>
      <w:bookmarkStart w:id="0" w:name="OLE_LINK1"/>
      <w:r>
        <w:rPr>
          <w:rFonts w:hint="eastAsia" w:ascii="宋体" w:hAnsi="宋体" w:cs="宋体"/>
          <w:b/>
          <w:bCs/>
          <w:sz w:val="28"/>
          <w:szCs w:val="28"/>
          <w:lang w:eastAsia="zh-CN"/>
        </w:rPr>
        <w:t>金山院区智慧病房信息化建设项目</w:t>
      </w:r>
      <w:bookmarkEnd w:id="0"/>
    </w:p>
    <w:p>
      <w:pPr>
        <w:spacing w:line="360" w:lineRule="auto"/>
        <w:jc w:val="cente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技术需求书</w:t>
      </w:r>
    </w:p>
    <w:p>
      <w:pPr>
        <w:pStyle w:val="6"/>
        <w:spacing w:line="360" w:lineRule="auto"/>
        <w:rPr>
          <w:rFonts w:hint="eastAsia" w:ascii="宋体" w:hAnsi="宋体" w:eastAsia="宋体" w:cs="宋体"/>
          <w:sz w:val="24"/>
          <w:szCs w:val="24"/>
        </w:rPr>
      </w:pPr>
    </w:p>
    <w:p>
      <w:pPr>
        <w:pStyle w:val="2"/>
        <w:keepNext w:val="0"/>
        <w:widowControl/>
        <w:numPr>
          <w:ilvl w:val="0"/>
          <w:numId w:val="2"/>
        </w:numPr>
        <w:adjustRightInd w:val="0"/>
        <w:snapToGrid w:val="0"/>
        <w:spacing w:before="156" w:beforeLines="50" w:after="0" w:line="360" w:lineRule="auto"/>
        <w:ind w:left="0" w:leftChars="0" w:firstLine="0" w:firstLineChars="0"/>
        <w:jc w:val="left"/>
        <w:rPr>
          <w:rFonts w:hint="eastAsia" w:ascii="宋体" w:hAnsi="宋体" w:eastAsia="宋体" w:cs="宋体"/>
          <w:sz w:val="24"/>
          <w:szCs w:val="24"/>
        </w:rPr>
      </w:pPr>
      <w:bookmarkStart w:id="1" w:name="_Toc239189863"/>
      <w:bookmarkStart w:id="2" w:name="_Toc223422339"/>
      <w:bookmarkStart w:id="3" w:name="_Toc222713862"/>
      <w:bookmarkStart w:id="4" w:name="_Toc215557611"/>
      <w:bookmarkStart w:id="5" w:name="_Toc239568541"/>
      <w:bookmarkStart w:id="6" w:name="_Toc223582074"/>
      <w:bookmarkStart w:id="7" w:name="_Toc221243574"/>
      <w:bookmarkStart w:id="8" w:name="_Toc21688"/>
      <w:bookmarkStart w:id="9" w:name="_Toc78819313"/>
      <w:r>
        <w:rPr>
          <w:rFonts w:hint="eastAsia" w:ascii="宋体" w:hAnsi="宋体" w:eastAsia="宋体" w:cs="宋体"/>
          <w:sz w:val="24"/>
          <w:szCs w:val="24"/>
        </w:rPr>
        <w:t>项目名称</w:t>
      </w:r>
      <w:bookmarkEnd w:id="1"/>
      <w:bookmarkEnd w:id="2"/>
      <w:bookmarkEnd w:id="3"/>
      <w:bookmarkEnd w:id="4"/>
      <w:bookmarkEnd w:id="5"/>
      <w:bookmarkEnd w:id="6"/>
      <w:bookmarkEnd w:id="7"/>
      <w:bookmarkEnd w:id="8"/>
      <w:bookmarkEnd w:id="9"/>
    </w:p>
    <w:p>
      <w:pPr>
        <w:spacing w:line="360" w:lineRule="auto"/>
        <w:ind w:firstLine="420"/>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金山院区智慧病房信息化建设项目</w:t>
      </w:r>
    </w:p>
    <w:p>
      <w:pPr>
        <w:pStyle w:val="2"/>
        <w:keepNext w:val="0"/>
        <w:widowControl/>
        <w:numPr>
          <w:ilvl w:val="0"/>
          <w:numId w:val="2"/>
        </w:numPr>
        <w:adjustRightInd w:val="0"/>
        <w:snapToGrid w:val="0"/>
        <w:spacing w:before="156" w:beforeLines="50" w:after="0" w:line="360" w:lineRule="auto"/>
        <w:ind w:left="0" w:leftChars="0" w:firstLine="0" w:firstLineChars="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项目背景</w:t>
      </w:r>
    </w:p>
    <w:p>
      <w:pPr>
        <w:widowControl/>
        <w:adjustRightInd w:val="0"/>
        <w:snapToGrid w:val="0"/>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为贯彻落实国务院《关于进一步完善医疗卫生服务体系的意见》、《新一代人工智能发展规划》及科技部发布的《“十三五”卫生与健康科技创新专项规划》文件的相关要求，根据国家卫健委印发的《关于开展改善就医感受提升患者体验主题活动的通知》及上海卫健委印发的《上海市进一步改善护理服务行动计划 （2023-2025年）》，建立智慧化医院服务项目。</w:t>
      </w:r>
    </w:p>
    <w:p>
      <w:pPr>
        <w:pStyle w:val="2"/>
        <w:keepNext w:val="0"/>
        <w:widowControl/>
        <w:numPr>
          <w:ilvl w:val="0"/>
          <w:numId w:val="2"/>
        </w:numPr>
        <w:adjustRightInd w:val="0"/>
        <w:snapToGrid w:val="0"/>
        <w:spacing w:before="156" w:beforeLines="50" w:after="0" w:line="360" w:lineRule="auto"/>
        <w:ind w:left="0" w:leftChars="0" w:firstLine="0" w:firstLineChars="0"/>
        <w:jc w:val="left"/>
        <w:rPr>
          <w:rFonts w:hint="eastAsia" w:ascii="宋体" w:hAnsi="宋体" w:eastAsia="宋体" w:cs="宋体"/>
          <w:sz w:val="24"/>
          <w:szCs w:val="24"/>
        </w:rPr>
      </w:pPr>
      <w:bookmarkStart w:id="10" w:name="_Toc78819316"/>
      <w:bookmarkStart w:id="11" w:name="_Toc9519"/>
      <w:r>
        <w:rPr>
          <w:rFonts w:hint="eastAsia" w:ascii="宋体" w:hAnsi="宋体" w:eastAsia="宋体" w:cs="宋体"/>
          <w:sz w:val="24"/>
          <w:szCs w:val="24"/>
        </w:rPr>
        <w:t>建设目标</w:t>
      </w:r>
      <w:bookmarkEnd w:id="10"/>
      <w:bookmarkEnd w:id="11"/>
    </w:p>
    <w:p>
      <w:pPr>
        <w:pStyle w:val="17"/>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cs="宋体"/>
          <w:sz w:val="24"/>
          <w:szCs w:val="24"/>
        </w:rPr>
        <w:t>本项目实现上海市公共卫生临床中心</w:t>
      </w:r>
      <w:r>
        <w:rPr>
          <w:rFonts w:hint="eastAsia" w:cs="宋体"/>
          <w:sz w:val="24"/>
          <w:szCs w:val="24"/>
          <w:lang w:val="en-US" w:eastAsia="zh-CN"/>
        </w:rPr>
        <w:t>新建4个病区的</w:t>
      </w:r>
      <w:r>
        <w:rPr>
          <w:rFonts w:hint="eastAsia" w:cs="宋体"/>
          <w:sz w:val="24"/>
          <w:szCs w:val="24"/>
        </w:rPr>
        <w:t>智能化管理，</w:t>
      </w:r>
      <w:r>
        <w:rPr>
          <w:rFonts w:hint="eastAsia" w:cs="宋体"/>
          <w:sz w:val="24"/>
          <w:szCs w:val="24"/>
          <w:shd w:val="clear" w:color="auto" w:fill="FFFFFF"/>
        </w:rPr>
        <w:t>为病区提供可靠的质控管理体系，</w:t>
      </w:r>
      <w:r>
        <w:rPr>
          <w:rFonts w:hint="eastAsia" w:cs="宋体"/>
          <w:sz w:val="24"/>
          <w:szCs w:val="24"/>
        </w:rPr>
        <w:t>提高病区医护人员的工作效率，提升临床检验的整体质量。通过</w:t>
      </w:r>
      <w:r>
        <w:rPr>
          <w:rFonts w:hint="eastAsia" w:cs="宋体"/>
          <w:sz w:val="24"/>
          <w:szCs w:val="24"/>
          <w:shd w:val="clear" w:color="auto" w:fill="FFFFFF"/>
        </w:rPr>
        <w:t>信息化、智能化技术支持检验质量控制的高效实施及可视化监控，同时</w:t>
      </w:r>
      <w:r>
        <w:rPr>
          <w:rFonts w:hint="eastAsia" w:cs="宋体"/>
          <w:sz w:val="24"/>
          <w:szCs w:val="24"/>
        </w:rPr>
        <w:t>全面提升医院的智能化、自动化水平，推动智能化卫生健康服务体系的建设。</w:t>
      </w:r>
    </w:p>
    <w:p>
      <w:pPr>
        <w:pStyle w:val="2"/>
        <w:keepNext w:val="0"/>
        <w:widowControl/>
        <w:numPr>
          <w:ilvl w:val="0"/>
          <w:numId w:val="2"/>
        </w:numPr>
        <w:adjustRightInd w:val="0"/>
        <w:snapToGrid w:val="0"/>
        <w:spacing w:before="156" w:beforeLines="50" w:after="0" w:line="360" w:lineRule="auto"/>
        <w:ind w:left="0" w:leftChars="0" w:firstLine="0" w:firstLineChars="0"/>
        <w:jc w:val="left"/>
        <w:rPr>
          <w:rFonts w:hint="eastAsia" w:ascii="宋体" w:hAnsi="宋体" w:eastAsia="宋体" w:cs="宋体"/>
          <w:sz w:val="24"/>
          <w:szCs w:val="24"/>
        </w:rPr>
      </w:pPr>
      <w:bookmarkStart w:id="12" w:name="_Toc4399"/>
      <w:bookmarkStart w:id="13" w:name="_Toc13065"/>
      <w:bookmarkStart w:id="14" w:name="_Toc8031"/>
      <w:bookmarkStart w:id="15" w:name="_Toc11472"/>
      <w:bookmarkStart w:id="16" w:name="_Toc8268"/>
      <w:bookmarkStart w:id="17" w:name="_Toc1527"/>
      <w:bookmarkStart w:id="18" w:name="_Toc5624"/>
      <w:bookmarkStart w:id="19" w:name="_Toc16740"/>
      <w:bookmarkStart w:id="20" w:name="_Toc166936612"/>
      <w:bookmarkStart w:id="21" w:name="_Toc16370"/>
      <w:bookmarkStart w:id="22" w:name="_Toc9546"/>
      <w:bookmarkStart w:id="23" w:name="_Toc5680"/>
      <w:bookmarkStart w:id="24" w:name="_Toc1598"/>
      <w:bookmarkStart w:id="25" w:name="_Toc16252"/>
      <w:bookmarkStart w:id="26" w:name="_Toc6987"/>
      <w:bookmarkStart w:id="27" w:name="_Toc27247"/>
      <w:bookmarkStart w:id="28" w:name="_Toc11877"/>
      <w:bookmarkStart w:id="29" w:name="_Toc969"/>
      <w:bookmarkStart w:id="30" w:name="_Toc12793"/>
      <w:bookmarkStart w:id="31" w:name="_Toc166936614"/>
      <w:bookmarkStart w:id="32" w:name="_Toc15281"/>
      <w:bookmarkStart w:id="33" w:name="_Toc31568"/>
      <w:r>
        <w:rPr>
          <w:rFonts w:hint="eastAsia" w:ascii="宋体" w:hAnsi="宋体" w:eastAsia="宋体" w:cs="宋体"/>
          <w:sz w:val="24"/>
          <w:szCs w:val="24"/>
        </w:rPr>
        <w:t>项目预算</w:t>
      </w:r>
      <w:bookmarkEnd w:id="12"/>
      <w:bookmarkEnd w:id="13"/>
      <w:bookmarkEnd w:id="14"/>
      <w:bookmarkEnd w:id="15"/>
      <w:bookmarkEnd w:id="16"/>
      <w:bookmarkEnd w:id="17"/>
      <w:bookmarkEnd w:id="18"/>
      <w:bookmarkEnd w:id="19"/>
      <w:bookmarkEnd w:id="20"/>
      <w:bookmarkEnd w:id="21"/>
      <w:bookmarkEnd w:id="22"/>
    </w:p>
    <w:p>
      <w:pPr>
        <w:widowControl/>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预算金额为：</w:t>
      </w:r>
      <w:bookmarkStart w:id="61" w:name="_GoBack"/>
      <w:r>
        <w:rPr>
          <w:rFonts w:hint="eastAsia" w:ascii="宋体" w:hAnsi="宋体" w:cs="宋体"/>
          <w:sz w:val="24"/>
          <w:szCs w:val="24"/>
          <w:lang w:val="en-US" w:eastAsia="zh-CN"/>
        </w:rPr>
        <w:t>97.3</w:t>
      </w:r>
      <w:bookmarkEnd w:id="61"/>
      <w:r>
        <w:rPr>
          <w:rFonts w:hint="eastAsia" w:ascii="宋体" w:hAnsi="宋体" w:eastAsia="宋体" w:cs="宋体"/>
          <w:sz w:val="24"/>
          <w:szCs w:val="24"/>
        </w:rPr>
        <w:t>万元，超过最高限价的投标不予接受。</w:t>
      </w:r>
    </w:p>
    <w:p>
      <w:pPr>
        <w:pStyle w:val="2"/>
        <w:keepNext w:val="0"/>
        <w:widowControl/>
        <w:numPr>
          <w:ilvl w:val="0"/>
          <w:numId w:val="2"/>
        </w:numPr>
        <w:adjustRightInd w:val="0"/>
        <w:snapToGrid w:val="0"/>
        <w:spacing w:before="156" w:beforeLines="50" w:after="0" w:line="360" w:lineRule="auto"/>
        <w:ind w:left="0" w:leftChars="0" w:firstLine="0" w:firstLineChars="0"/>
        <w:jc w:val="left"/>
        <w:rPr>
          <w:rFonts w:hint="eastAsia" w:ascii="宋体" w:hAnsi="宋体" w:eastAsia="宋体" w:cs="宋体"/>
          <w:sz w:val="24"/>
          <w:szCs w:val="24"/>
        </w:rPr>
      </w:pPr>
      <w:r>
        <w:rPr>
          <w:rFonts w:hint="eastAsia" w:ascii="宋体" w:hAnsi="宋体" w:eastAsia="宋体" w:cs="宋体"/>
          <w:sz w:val="24"/>
          <w:szCs w:val="24"/>
        </w:rPr>
        <w:t>项目工期要求</w:t>
      </w:r>
      <w:bookmarkEnd w:id="23"/>
      <w:bookmarkEnd w:id="24"/>
      <w:bookmarkEnd w:id="25"/>
      <w:bookmarkEnd w:id="26"/>
      <w:bookmarkEnd w:id="27"/>
      <w:bookmarkEnd w:id="28"/>
      <w:bookmarkEnd w:id="29"/>
      <w:bookmarkEnd w:id="30"/>
      <w:bookmarkEnd w:id="31"/>
      <w:bookmarkEnd w:id="32"/>
      <w:bookmarkEnd w:id="33"/>
    </w:p>
    <w:p>
      <w:pPr>
        <w:widowControl/>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自合同签订之日起</w:t>
      </w:r>
      <w:r>
        <w:rPr>
          <w:rFonts w:hint="eastAsia" w:ascii="宋体" w:hAnsi="宋体" w:cs="宋体"/>
          <w:sz w:val="24"/>
          <w:szCs w:val="24"/>
          <w:lang w:val="en-US" w:eastAsia="zh-CN"/>
        </w:rPr>
        <w:t>3</w:t>
      </w:r>
      <w:r>
        <w:rPr>
          <w:rFonts w:hint="eastAsia" w:ascii="宋体" w:hAnsi="宋体" w:eastAsia="宋体" w:cs="宋体"/>
          <w:sz w:val="24"/>
          <w:szCs w:val="24"/>
          <w:highlight w:val="none"/>
        </w:rPr>
        <w:t>个</w:t>
      </w:r>
      <w:r>
        <w:rPr>
          <w:rFonts w:hint="eastAsia" w:ascii="宋体" w:hAnsi="宋体" w:eastAsia="宋体" w:cs="宋体"/>
          <w:sz w:val="24"/>
          <w:szCs w:val="24"/>
        </w:rPr>
        <w:t>月内完成项目建设并通过验收</w:t>
      </w:r>
      <w:r>
        <w:rPr>
          <w:rFonts w:hint="eastAsia" w:ascii="宋体" w:hAnsi="宋体" w:cs="宋体"/>
          <w:sz w:val="24"/>
          <w:szCs w:val="24"/>
          <w:lang w:eastAsia="zh-CN"/>
        </w:rPr>
        <w:t>（</w:t>
      </w:r>
      <w:r>
        <w:rPr>
          <w:rFonts w:hint="eastAsia" w:ascii="宋体" w:hAnsi="宋体" w:cs="宋体"/>
          <w:sz w:val="24"/>
          <w:szCs w:val="24"/>
          <w:lang w:val="en-US" w:eastAsia="zh-CN"/>
        </w:rPr>
        <w:t>含1个月试运行</w:t>
      </w:r>
      <w:r>
        <w:rPr>
          <w:rFonts w:hint="eastAsia" w:ascii="宋体" w:hAnsi="宋体" w:cs="宋体"/>
          <w:sz w:val="24"/>
          <w:szCs w:val="24"/>
          <w:lang w:eastAsia="zh-CN"/>
        </w:rPr>
        <w:t>）</w:t>
      </w:r>
      <w:r>
        <w:rPr>
          <w:rFonts w:hint="eastAsia" w:ascii="宋体" w:hAnsi="宋体" w:eastAsia="宋体" w:cs="宋体"/>
          <w:sz w:val="24"/>
          <w:szCs w:val="24"/>
        </w:rPr>
        <w:t>。</w:t>
      </w:r>
    </w:p>
    <w:p>
      <w:pPr>
        <w:widowControl/>
        <w:adjustRightInd w:val="0"/>
        <w:snapToGrid w:val="0"/>
        <w:spacing w:line="360" w:lineRule="auto"/>
        <w:ind w:left="25" w:leftChars="12" w:firstLine="480" w:firstLineChars="200"/>
        <w:rPr>
          <w:rFonts w:hint="eastAsia" w:ascii="宋体" w:hAnsi="宋体" w:eastAsia="宋体" w:cs="宋体"/>
          <w:bCs/>
          <w:sz w:val="24"/>
          <w:szCs w:val="24"/>
        </w:rPr>
      </w:pPr>
      <w:r>
        <w:rPr>
          <w:rFonts w:hint="eastAsia" w:ascii="宋体" w:hAnsi="宋体" w:eastAsia="宋体" w:cs="宋体"/>
          <w:bCs/>
          <w:sz w:val="24"/>
          <w:szCs w:val="24"/>
        </w:rPr>
        <w:t>投标单位需在技术方案中详细描述项目详细实施计划。</w:t>
      </w:r>
    </w:p>
    <w:p>
      <w:pPr>
        <w:pStyle w:val="2"/>
        <w:keepNext w:val="0"/>
        <w:widowControl/>
        <w:numPr>
          <w:ilvl w:val="0"/>
          <w:numId w:val="2"/>
        </w:numPr>
        <w:adjustRightInd w:val="0"/>
        <w:snapToGrid w:val="0"/>
        <w:spacing w:before="156" w:beforeLines="50" w:after="0" w:line="360" w:lineRule="auto"/>
        <w:ind w:left="0" w:leftChars="0" w:firstLine="0" w:firstLineChars="0"/>
        <w:jc w:val="left"/>
        <w:rPr>
          <w:rFonts w:hint="eastAsia" w:ascii="宋体" w:hAnsi="宋体" w:eastAsia="宋体" w:cs="宋体"/>
          <w:sz w:val="24"/>
          <w:szCs w:val="24"/>
        </w:rPr>
      </w:pPr>
      <w:r>
        <w:rPr>
          <w:rFonts w:hint="eastAsia" w:ascii="宋体" w:hAnsi="宋体" w:eastAsia="宋体" w:cs="宋体"/>
          <w:sz w:val="24"/>
          <w:szCs w:val="24"/>
        </w:rPr>
        <w:t>主题内容和适用范围</w:t>
      </w:r>
    </w:p>
    <w:p>
      <w:pPr>
        <w:numPr>
          <w:ilvl w:val="0"/>
          <w:numId w:val="3"/>
        </w:numPr>
        <w:spacing w:line="360" w:lineRule="auto"/>
        <w:ind w:left="845" w:leftChars="0" w:hanging="425" w:firstLineChars="0"/>
        <w:rPr>
          <w:rFonts w:hint="eastAsia" w:ascii="宋体" w:hAnsi="宋体" w:eastAsia="宋体" w:cs="宋体"/>
          <w:b/>
          <w:kern w:val="0"/>
          <w:sz w:val="24"/>
          <w:szCs w:val="24"/>
        </w:rPr>
      </w:pPr>
      <w:bookmarkStart w:id="34" w:name="_Toc35077692"/>
      <w:r>
        <w:rPr>
          <w:rFonts w:hint="eastAsia" w:ascii="宋体" w:hAnsi="宋体" w:eastAsia="宋体" w:cs="宋体"/>
          <w:b/>
          <w:kern w:val="0"/>
          <w:sz w:val="24"/>
          <w:szCs w:val="24"/>
        </w:rPr>
        <w:t>主题内容</w:t>
      </w:r>
      <w:bookmarkEnd w:id="34"/>
    </w:p>
    <w:p>
      <w:pPr>
        <w:spacing w:line="360" w:lineRule="auto"/>
        <w:ind w:firstLine="480" w:firstLineChars="200"/>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本技术规格规定了上海市公共卫生临床中心</w:t>
      </w:r>
      <w:r>
        <w:rPr>
          <w:rFonts w:hint="eastAsia" w:ascii="宋体" w:hAnsi="宋体" w:cs="宋体"/>
          <w:color w:val="000000" w:themeColor="text1"/>
          <w:kern w:val="0"/>
          <w:sz w:val="24"/>
          <w:szCs w:val="24"/>
          <w:lang w:val="en-US" w:eastAsia="zh-CN"/>
          <w14:textFill>
            <w14:solidFill>
              <w14:schemeClr w14:val="tx1"/>
            </w14:solidFill>
          </w14:textFill>
        </w:rPr>
        <w:t>金山院区智慧病房信息化建设项目</w:t>
      </w:r>
      <w:r>
        <w:rPr>
          <w:rFonts w:hint="eastAsia" w:ascii="宋体" w:hAnsi="宋体" w:eastAsia="宋体" w:cs="宋体"/>
          <w:sz w:val="24"/>
          <w:szCs w:val="24"/>
          <w:lang w:val="zh-TW" w:eastAsia="zh-TW"/>
        </w:rPr>
        <w:t>的功能、性能和使用要求，以及</w:t>
      </w:r>
      <w:r>
        <w:rPr>
          <w:rFonts w:hint="eastAsia" w:ascii="宋体" w:hAnsi="宋体" w:eastAsia="宋体" w:cs="宋体"/>
          <w:sz w:val="24"/>
          <w:szCs w:val="24"/>
          <w:lang w:val="zh-TW"/>
        </w:rPr>
        <w:t>投标人</w:t>
      </w:r>
      <w:r>
        <w:rPr>
          <w:rFonts w:hint="eastAsia" w:ascii="宋体" w:hAnsi="宋体" w:eastAsia="宋体" w:cs="宋体"/>
          <w:sz w:val="24"/>
          <w:szCs w:val="24"/>
          <w:lang w:val="zh-TW" w:eastAsia="zh-TW"/>
        </w:rPr>
        <w:t>须提供的</w:t>
      </w:r>
      <w:r>
        <w:rPr>
          <w:rFonts w:hint="eastAsia" w:ascii="宋体" w:hAnsi="宋体" w:eastAsia="宋体" w:cs="宋体"/>
          <w:sz w:val="24"/>
          <w:szCs w:val="24"/>
          <w:lang w:val="zh-TW"/>
        </w:rPr>
        <w:t>产品</w:t>
      </w:r>
      <w:r>
        <w:rPr>
          <w:rFonts w:hint="eastAsia" w:ascii="宋体" w:hAnsi="宋体" w:eastAsia="宋体" w:cs="宋体"/>
          <w:sz w:val="24"/>
          <w:szCs w:val="24"/>
          <w:lang w:val="zh-TW" w:eastAsia="zh-TW"/>
        </w:rPr>
        <w:t>供货、</w:t>
      </w:r>
      <w:r>
        <w:rPr>
          <w:rFonts w:hint="eastAsia" w:ascii="宋体" w:hAnsi="宋体" w:eastAsia="宋体" w:cs="宋体"/>
          <w:sz w:val="24"/>
          <w:szCs w:val="24"/>
          <w:lang w:val="zh-TW"/>
        </w:rPr>
        <w:t>产品</w:t>
      </w:r>
      <w:r>
        <w:rPr>
          <w:rFonts w:hint="eastAsia" w:ascii="宋体" w:hAnsi="宋体" w:eastAsia="宋体" w:cs="宋体"/>
          <w:sz w:val="24"/>
          <w:szCs w:val="24"/>
          <w:lang w:val="zh-TW" w:eastAsia="zh-TW"/>
        </w:rPr>
        <w:t>安装、系统调试、性能检验、验收配合、人员培训、技术资料提供及售后服务等方面的要求。</w:t>
      </w:r>
    </w:p>
    <w:p>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投标人应按照招标文件的要求，提供本</w:t>
      </w:r>
      <w:r>
        <w:rPr>
          <w:rFonts w:hint="eastAsia" w:ascii="宋体" w:hAnsi="宋体" w:cs="宋体"/>
          <w:color w:val="000000" w:themeColor="text1"/>
          <w:kern w:val="0"/>
          <w:sz w:val="24"/>
          <w:szCs w:val="24"/>
          <w:lang w:val="en-US" w:eastAsia="zh-CN"/>
          <w14:textFill>
            <w14:solidFill>
              <w14:schemeClr w14:val="tx1"/>
            </w14:solidFill>
          </w14:textFill>
        </w:rPr>
        <w:t>金山院区智慧病房信息化建设项目</w:t>
      </w:r>
      <w:r>
        <w:rPr>
          <w:rFonts w:hint="eastAsia" w:ascii="宋体" w:hAnsi="宋体" w:eastAsia="宋体" w:cs="宋体"/>
          <w:sz w:val="24"/>
          <w:szCs w:val="24"/>
          <w:lang w:val="zh-CN"/>
        </w:rPr>
        <w:t>的材料、产品等的配置及报价。中标人应负责系统建设、材料、产品的采购及产品安装、调试、检测（含检测费用）、通过招标人的验收、人员培训、售后服务等工作内容。</w:t>
      </w:r>
    </w:p>
    <w:p>
      <w:pPr>
        <w:numPr>
          <w:ilvl w:val="0"/>
          <w:numId w:val="3"/>
        </w:numPr>
        <w:spacing w:line="360" w:lineRule="auto"/>
        <w:ind w:left="845" w:leftChars="0" w:hanging="425" w:firstLineChars="0"/>
        <w:rPr>
          <w:rFonts w:hint="eastAsia" w:ascii="宋体" w:hAnsi="宋体" w:eastAsia="宋体" w:cs="宋体"/>
          <w:b/>
          <w:kern w:val="0"/>
          <w:sz w:val="24"/>
          <w:szCs w:val="24"/>
        </w:rPr>
      </w:pPr>
      <w:bookmarkStart w:id="35" w:name="_Toc35077693"/>
      <w:r>
        <w:rPr>
          <w:rFonts w:hint="eastAsia" w:ascii="宋体" w:hAnsi="宋体" w:eastAsia="宋体" w:cs="宋体"/>
          <w:b/>
          <w:kern w:val="0"/>
          <w:sz w:val="24"/>
          <w:szCs w:val="24"/>
        </w:rPr>
        <w:t>适用范围</w:t>
      </w:r>
      <w:bookmarkEnd w:id="35"/>
    </w:p>
    <w:p>
      <w:pPr>
        <w:spacing w:line="360" w:lineRule="auto"/>
        <w:ind w:firstLine="480" w:firstLineChars="200"/>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本技术规格适用于上海市公共卫生临床中心</w:t>
      </w:r>
      <w:r>
        <w:rPr>
          <w:rFonts w:hint="eastAsia" w:ascii="宋体" w:hAnsi="宋体" w:cs="宋体"/>
          <w:color w:val="000000" w:themeColor="text1"/>
          <w:kern w:val="0"/>
          <w:sz w:val="24"/>
          <w:szCs w:val="24"/>
          <w:lang w:val="en-US" w:eastAsia="zh-CN"/>
          <w14:textFill>
            <w14:solidFill>
              <w14:schemeClr w14:val="tx1"/>
            </w14:solidFill>
          </w14:textFill>
        </w:rPr>
        <w:t>金山院区智慧病房信息化建设项目</w:t>
      </w:r>
      <w:r>
        <w:rPr>
          <w:rFonts w:hint="eastAsia" w:ascii="宋体" w:hAnsi="宋体" w:eastAsia="宋体" w:cs="宋体"/>
          <w:sz w:val="24"/>
          <w:szCs w:val="24"/>
          <w:lang w:val="zh-TW" w:eastAsia="zh-TW"/>
        </w:rPr>
        <w:t>及其伴随服务的采购招标。</w:t>
      </w:r>
    </w:p>
    <w:p>
      <w:pPr>
        <w:numPr>
          <w:ilvl w:val="0"/>
          <w:numId w:val="3"/>
        </w:numPr>
        <w:spacing w:line="360" w:lineRule="auto"/>
        <w:ind w:left="845" w:leftChars="0" w:hanging="425" w:firstLineChars="0"/>
        <w:rPr>
          <w:rFonts w:hint="eastAsia" w:ascii="宋体" w:hAnsi="宋体" w:eastAsia="宋体" w:cs="宋体"/>
          <w:b/>
          <w:kern w:val="0"/>
          <w:sz w:val="24"/>
          <w:szCs w:val="24"/>
        </w:rPr>
      </w:pPr>
      <w:bookmarkStart w:id="36" w:name="_Toc8344096"/>
      <w:bookmarkStart w:id="37" w:name="_Toc2046570"/>
      <w:bookmarkStart w:id="38" w:name="_Toc465782812"/>
      <w:bookmarkStart w:id="39" w:name="_Toc302374009"/>
      <w:bookmarkStart w:id="40" w:name="_Toc477441801"/>
      <w:bookmarkStart w:id="41" w:name="_Toc2061029"/>
      <w:bookmarkStart w:id="42" w:name="_Toc2061634"/>
      <w:bookmarkStart w:id="43" w:name="_Toc2060870"/>
      <w:bookmarkStart w:id="44" w:name="_Toc465783068"/>
      <w:r>
        <w:rPr>
          <w:rFonts w:hint="eastAsia" w:ascii="宋体" w:hAnsi="宋体" w:eastAsia="宋体" w:cs="宋体"/>
          <w:b/>
          <w:kern w:val="0"/>
          <w:sz w:val="24"/>
          <w:szCs w:val="24"/>
        </w:rPr>
        <w:t>基本要求</w:t>
      </w:r>
      <w:bookmarkEnd w:id="36"/>
      <w:bookmarkEnd w:id="37"/>
      <w:bookmarkEnd w:id="38"/>
      <w:bookmarkEnd w:id="39"/>
      <w:bookmarkEnd w:id="40"/>
      <w:bookmarkEnd w:id="41"/>
      <w:bookmarkEnd w:id="42"/>
      <w:bookmarkEnd w:id="43"/>
      <w:bookmarkEnd w:id="44"/>
    </w:p>
    <w:p>
      <w:pPr>
        <w:spacing w:line="360" w:lineRule="auto"/>
        <w:ind w:firstLine="480" w:firstLineChars="200"/>
        <w:rPr>
          <w:rFonts w:hint="eastAsia" w:ascii="宋体" w:hAnsi="宋体" w:eastAsia="宋体" w:cs="宋体"/>
          <w:sz w:val="24"/>
          <w:szCs w:val="24"/>
          <w:lang w:val="zh-TW" w:eastAsia="zh-TW"/>
        </w:rPr>
      </w:pPr>
      <w:bookmarkStart w:id="45" w:name="_Toc2061030"/>
      <w:bookmarkStart w:id="46" w:name="_Toc8344097"/>
      <w:bookmarkStart w:id="47" w:name="_Toc2060871"/>
      <w:bookmarkStart w:id="48" w:name="_Toc2061635"/>
      <w:bookmarkStart w:id="49" w:name="_Toc2046571"/>
      <w:r>
        <w:rPr>
          <w:rFonts w:hint="eastAsia" w:ascii="宋体" w:hAnsi="宋体" w:eastAsia="宋体" w:cs="宋体"/>
          <w:sz w:val="24"/>
          <w:szCs w:val="24"/>
          <w:lang w:val="zh-TW" w:eastAsia="zh-TW"/>
        </w:rPr>
        <w:t>本技术规格所提出的要求是对本次</w:t>
      </w:r>
      <w:r>
        <w:rPr>
          <w:rFonts w:hint="eastAsia" w:ascii="宋体" w:hAnsi="宋体" w:eastAsia="宋体" w:cs="宋体"/>
          <w:sz w:val="24"/>
          <w:szCs w:val="24"/>
          <w:lang w:val="zh-TW"/>
        </w:rPr>
        <w:t>招标</w:t>
      </w:r>
      <w:r>
        <w:rPr>
          <w:rFonts w:hint="eastAsia" w:ascii="宋体" w:hAnsi="宋体" w:eastAsia="宋体" w:cs="宋体"/>
          <w:sz w:val="24"/>
          <w:szCs w:val="24"/>
          <w:lang w:val="zh-TW" w:eastAsia="zh-TW"/>
        </w:rPr>
        <w:t>欲采购货物及服务的基本技术要求，并未涉及所有技术细节，也未充分引述有关标准、规范的全部条款。</w:t>
      </w:r>
      <w:r>
        <w:rPr>
          <w:rFonts w:hint="eastAsia" w:ascii="宋体" w:hAnsi="宋体" w:eastAsia="宋体" w:cs="宋体"/>
          <w:sz w:val="24"/>
          <w:szCs w:val="24"/>
          <w:lang w:val="zh-TW"/>
        </w:rPr>
        <w:t>投标人</w:t>
      </w:r>
      <w:r>
        <w:rPr>
          <w:rFonts w:hint="eastAsia" w:ascii="宋体" w:hAnsi="宋体" w:eastAsia="宋体" w:cs="宋体"/>
          <w:sz w:val="24"/>
          <w:szCs w:val="24"/>
          <w:lang w:val="zh-TW" w:eastAsia="zh-TW"/>
        </w:rPr>
        <w:t>应保证其提供的货物及服务除了满足本技术规格的要求外</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还应符合中国国家</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行业</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地方、国际或设备制造商所在国的有关标准、规范（尤其是必须符合中国国家标准的有关强制性规定）。当上述标准、规范的有关规定之间存在差异时，应以要求高的为准；当上述标准、规范的有关规定与本技术规格的规定之间存在差异时</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应以本技术规格为准。</w:t>
      </w:r>
    </w:p>
    <w:p>
      <w:pPr>
        <w:spacing w:line="360" w:lineRule="auto"/>
        <w:ind w:firstLine="480" w:firstLineChars="200"/>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本技术规格中指定的工艺、材料和设备的标准以及参照的品牌或型号（若有时）仅起说明作用，并没有任何限制性。</w:t>
      </w:r>
      <w:r>
        <w:rPr>
          <w:rFonts w:hint="eastAsia" w:ascii="宋体" w:hAnsi="宋体" w:eastAsia="宋体" w:cs="宋体"/>
          <w:sz w:val="24"/>
          <w:szCs w:val="24"/>
          <w:lang w:val="zh-TW"/>
        </w:rPr>
        <w:t>投标人</w:t>
      </w:r>
      <w:r>
        <w:rPr>
          <w:rFonts w:hint="eastAsia" w:ascii="宋体" w:hAnsi="宋体" w:eastAsia="宋体" w:cs="宋体"/>
          <w:sz w:val="24"/>
          <w:szCs w:val="24"/>
          <w:lang w:val="zh-TW" w:eastAsia="zh-TW"/>
        </w:rPr>
        <w:t>在投标中可以选用替代工艺、材料、标准、品牌或型号，但这些替代要实质上满足或优于本技术规格的要求。</w:t>
      </w:r>
    </w:p>
    <w:p>
      <w:pPr>
        <w:spacing w:line="360" w:lineRule="auto"/>
        <w:ind w:firstLine="480" w:firstLineChars="200"/>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除有特殊说明之外，本技术规格中所有指定的具体技术参数或参数范围，均应理解为是</w:t>
      </w:r>
      <w:r>
        <w:rPr>
          <w:rFonts w:hint="eastAsia" w:ascii="宋体" w:hAnsi="宋体" w:eastAsia="宋体" w:cs="宋体"/>
          <w:sz w:val="24"/>
          <w:szCs w:val="24"/>
          <w:lang w:val="zh-TW"/>
        </w:rPr>
        <w:t>招标人</w:t>
      </w:r>
      <w:r>
        <w:rPr>
          <w:rFonts w:hint="eastAsia" w:ascii="宋体" w:hAnsi="宋体" w:eastAsia="宋体" w:cs="宋体"/>
          <w:sz w:val="24"/>
          <w:szCs w:val="24"/>
          <w:lang w:val="zh-TW" w:eastAsia="zh-TW"/>
        </w:rPr>
        <w:t>可接受的最低要求。也即，当对应技术参数或参数范围是越小越好时，则指定的具体技术参数或参数范围应理解为是上限值或最大允许范围；当对应技术参数或参数范围是越大越好时，则指定的具体技术参数或参数范围应理解为是下限值或最小允许范围。</w:t>
      </w:r>
      <w:bookmarkEnd w:id="45"/>
      <w:bookmarkEnd w:id="46"/>
      <w:bookmarkEnd w:id="47"/>
      <w:bookmarkEnd w:id="48"/>
      <w:bookmarkEnd w:id="49"/>
    </w:p>
    <w:p>
      <w:pPr>
        <w:pStyle w:val="2"/>
        <w:keepNext w:val="0"/>
        <w:widowControl/>
        <w:numPr>
          <w:ilvl w:val="0"/>
          <w:numId w:val="2"/>
        </w:numPr>
        <w:adjustRightInd w:val="0"/>
        <w:snapToGrid w:val="0"/>
        <w:spacing w:before="156" w:beforeLines="50" w:after="0" w:line="360" w:lineRule="auto"/>
        <w:ind w:left="0" w:leftChars="0" w:firstLine="0" w:firstLineChars="0"/>
        <w:jc w:val="left"/>
        <w:rPr>
          <w:rFonts w:hint="eastAsia" w:ascii="宋体" w:hAnsi="宋体" w:eastAsia="宋体" w:cs="宋体"/>
          <w:sz w:val="24"/>
          <w:szCs w:val="24"/>
        </w:rPr>
      </w:pPr>
      <w:r>
        <w:rPr>
          <w:rFonts w:hint="eastAsia" w:ascii="宋体" w:hAnsi="宋体" w:eastAsia="宋体" w:cs="宋体"/>
          <w:sz w:val="24"/>
          <w:szCs w:val="24"/>
        </w:rPr>
        <w:t>总体要求</w:t>
      </w:r>
    </w:p>
    <w:p>
      <w:pPr>
        <w:numPr>
          <w:ilvl w:val="0"/>
          <w:numId w:val="4"/>
        </w:numPr>
        <w:spacing w:line="360" w:lineRule="auto"/>
        <w:ind w:left="425" w:leftChars="0" w:hanging="425" w:firstLineChars="0"/>
        <w:rPr>
          <w:rFonts w:hint="eastAsia" w:ascii="宋体" w:hAnsi="宋体" w:eastAsia="宋体" w:cs="宋体"/>
          <w:sz w:val="24"/>
          <w:szCs w:val="24"/>
          <w:shd w:val="clear" w:color="auto" w:fill="FFFFFF"/>
          <w:lang w:val="zh-TW"/>
        </w:rPr>
      </w:pPr>
      <w:r>
        <w:rPr>
          <w:rFonts w:hint="eastAsia" w:ascii="宋体" w:hAnsi="宋体" w:eastAsia="宋体" w:cs="宋体"/>
          <w:sz w:val="24"/>
          <w:szCs w:val="24"/>
          <w:shd w:val="clear" w:color="auto" w:fill="FFFFFF"/>
          <w:lang w:val="zh-TW"/>
        </w:rPr>
        <w:t>以《技术条款偏离表》形式明确在提交的配置方案（总价范围内）中是否达标，如果缺失相关信息，视为不达标。</w:t>
      </w:r>
    </w:p>
    <w:p>
      <w:pPr>
        <w:numPr>
          <w:ilvl w:val="0"/>
          <w:numId w:val="4"/>
        </w:numPr>
        <w:spacing w:line="360" w:lineRule="auto"/>
        <w:ind w:left="425" w:leftChars="0" w:hanging="425" w:firstLineChars="0"/>
        <w:rPr>
          <w:rFonts w:hint="eastAsia" w:ascii="宋体" w:hAnsi="宋体" w:eastAsia="宋体" w:cs="宋体"/>
          <w:sz w:val="24"/>
          <w:szCs w:val="24"/>
          <w:shd w:val="clear" w:color="auto" w:fill="FFFFFF"/>
          <w:lang w:val="zh-TW"/>
        </w:rPr>
      </w:pPr>
      <w:r>
        <w:rPr>
          <w:rFonts w:hint="eastAsia" w:ascii="宋体" w:hAnsi="宋体" w:eastAsia="宋体" w:cs="宋体"/>
          <w:sz w:val="24"/>
          <w:szCs w:val="24"/>
          <w:shd w:val="clear" w:color="auto" w:fill="FFFFFF"/>
          <w:lang w:val="zh-TW"/>
        </w:rPr>
        <w:t>提供投标产品技术白皮书、产品规格表、第三方权威检测报告、资质证书、投标产品管理界面截图以及其他必要材料的复印件，作为技术达标的证明材料，原件备查。如果技术偏离表中的响应指标与提供的技术证明材料不一致，以技术证明材料为准。</w:t>
      </w:r>
    </w:p>
    <w:p>
      <w:pPr>
        <w:numPr>
          <w:ilvl w:val="0"/>
          <w:numId w:val="4"/>
        </w:numPr>
        <w:spacing w:line="360" w:lineRule="auto"/>
        <w:ind w:left="425" w:leftChars="0" w:hanging="425" w:firstLineChars="0"/>
        <w:rPr>
          <w:rFonts w:hint="eastAsia" w:ascii="宋体" w:hAnsi="宋体" w:eastAsia="宋体" w:cs="宋体"/>
          <w:sz w:val="24"/>
          <w:szCs w:val="24"/>
          <w:shd w:val="clear" w:color="auto" w:fill="FFFFFF"/>
          <w:lang w:val="zh-TW"/>
        </w:rPr>
      </w:pPr>
      <w:r>
        <w:rPr>
          <w:rFonts w:hint="eastAsia" w:ascii="宋体" w:hAnsi="宋体" w:eastAsia="宋体" w:cs="宋体"/>
          <w:sz w:val="24"/>
          <w:szCs w:val="24"/>
          <w:shd w:val="clear" w:color="auto" w:fill="FFFFFF"/>
          <w:lang w:val="zh-TW"/>
        </w:rPr>
        <w:t>所有答复为无偏离或正偏离的项目，均必须在总价包含相关License、设备配件等，无需额外购买。</w:t>
      </w:r>
    </w:p>
    <w:p>
      <w:pPr>
        <w:numPr>
          <w:ilvl w:val="0"/>
          <w:numId w:val="4"/>
        </w:numPr>
        <w:spacing w:line="360" w:lineRule="auto"/>
        <w:ind w:left="425" w:leftChars="0" w:hanging="425" w:firstLineChars="0"/>
        <w:rPr>
          <w:rFonts w:hint="eastAsia" w:ascii="宋体" w:hAnsi="宋体" w:eastAsia="宋体" w:cs="宋体"/>
          <w:sz w:val="24"/>
          <w:szCs w:val="24"/>
          <w:shd w:val="clear" w:color="auto" w:fill="FFFFFF"/>
          <w:lang w:val="zh-TW"/>
        </w:rPr>
      </w:pPr>
      <w:r>
        <w:rPr>
          <w:rFonts w:hint="eastAsia" w:ascii="宋体" w:hAnsi="宋体" w:eastAsia="宋体" w:cs="宋体"/>
          <w:sz w:val="24"/>
          <w:szCs w:val="24"/>
          <w:shd w:val="clear" w:color="auto" w:fill="FFFFFF"/>
          <w:lang w:val="zh-TW"/>
        </w:rPr>
        <w:t>可以就所采用的技术实现方式等细节信息另行附表做点对点应答。</w:t>
      </w:r>
    </w:p>
    <w:p>
      <w:pPr>
        <w:numPr>
          <w:ilvl w:val="0"/>
          <w:numId w:val="4"/>
        </w:numPr>
        <w:spacing w:line="360" w:lineRule="auto"/>
        <w:ind w:left="425" w:leftChars="0" w:hanging="425" w:firstLineChars="0"/>
        <w:rPr>
          <w:rFonts w:hint="eastAsia" w:ascii="宋体" w:hAnsi="宋体" w:eastAsia="宋体" w:cs="宋体"/>
          <w:sz w:val="24"/>
          <w:szCs w:val="24"/>
          <w:shd w:val="clear" w:color="auto" w:fill="FFFFFF"/>
          <w:lang w:val="zh-TW"/>
        </w:rPr>
      </w:pPr>
      <w:r>
        <w:rPr>
          <w:rFonts w:hint="eastAsia" w:ascii="宋体" w:hAnsi="宋体" w:eastAsia="宋体" w:cs="宋体"/>
          <w:sz w:val="24"/>
          <w:szCs w:val="24"/>
          <w:shd w:val="clear" w:color="auto" w:fill="FFFFFF"/>
          <w:lang w:val="zh-TW"/>
        </w:rPr>
        <w:t>所有产品提供安装上架、部署调试，培训服务相关服务。</w:t>
      </w:r>
    </w:p>
    <w:p>
      <w:pPr>
        <w:numPr>
          <w:ilvl w:val="0"/>
          <w:numId w:val="4"/>
        </w:numPr>
        <w:spacing w:line="360" w:lineRule="auto"/>
        <w:ind w:left="425" w:leftChars="0" w:hanging="425" w:firstLineChars="0"/>
        <w:rPr>
          <w:rFonts w:hint="eastAsia" w:ascii="宋体" w:hAnsi="宋体" w:eastAsia="宋体" w:cs="宋体"/>
          <w:sz w:val="24"/>
          <w:szCs w:val="24"/>
          <w:shd w:val="clear" w:color="auto" w:fill="FFFFFF"/>
          <w:lang w:val="zh-TW" w:eastAsia="zh-TW"/>
        </w:rPr>
      </w:pPr>
      <w:r>
        <w:rPr>
          <w:rFonts w:hint="eastAsia" w:ascii="宋体" w:hAnsi="宋体" w:eastAsia="宋体" w:cs="宋体"/>
          <w:b w:val="0"/>
          <w:bCs w:val="0"/>
          <w:sz w:val="24"/>
          <w:szCs w:val="24"/>
          <w:shd w:val="clear" w:color="auto" w:fill="FFFFFF"/>
          <w:lang w:val="zh-TW"/>
        </w:rPr>
        <w:t>软硬件产品均</w:t>
      </w:r>
      <w:r>
        <w:rPr>
          <w:rFonts w:hint="eastAsia" w:ascii="宋体" w:hAnsi="宋体" w:eastAsia="宋体" w:cs="宋体"/>
          <w:b w:val="0"/>
          <w:bCs w:val="0"/>
          <w:kern w:val="0"/>
          <w:sz w:val="24"/>
          <w:szCs w:val="24"/>
        </w:rPr>
        <w:t>提供不少于</w:t>
      </w:r>
      <w:r>
        <w:rPr>
          <w:rFonts w:hint="eastAsia" w:ascii="宋体" w:hAnsi="宋体" w:cs="宋体"/>
          <w:b w:val="0"/>
          <w:bCs w:val="0"/>
          <w:sz w:val="24"/>
          <w:szCs w:val="24"/>
          <w:shd w:val="clear" w:color="auto" w:fill="FFFFFF"/>
          <w:lang w:val="en-US" w:eastAsia="zh-CN"/>
        </w:rPr>
        <w:t>三</w:t>
      </w:r>
      <w:r>
        <w:rPr>
          <w:rFonts w:hint="eastAsia" w:ascii="宋体" w:hAnsi="宋体" w:eastAsia="宋体" w:cs="宋体"/>
          <w:b w:val="0"/>
          <w:bCs w:val="0"/>
          <w:sz w:val="24"/>
          <w:szCs w:val="24"/>
          <w:shd w:val="clear" w:color="auto" w:fill="FFFFFF"/>
          <w:lang w:val="zh-TW"/>
        </w:rPr>
        <w:t>年售后服务，交换机设备需要提供</w:t>
      </w:r>
      <w:r>
        <w:rPr>
          <w:rFonts w:hint="eastAsia" w:ascii="宋体" w:hAnsi="宋体" w:cs="宋体"/>
          <w:b w:val="0"/>
          <w:bCs w:val="0"/>
          <w:sz w:val="24"/>
          <w:szCs w:val="24"/>
          <w:shd w:val="clear" w:color="auto" w:fill="FFFFFF"/>
          <w:lang w:val="en-US" w:eastAsia="zh-CN"/>
        </w:rPr>
        <w:t>三</w:t>
      </w:r>
      <w:r>
        <w:rPr>
          <w:rFonts w:hint="eastAsia" w:ascii="宋体" w:hAnsi="宋体" w:eastAsia="宋体" w:cs="宋体"/>
          <w:b w:val="0"/>
          <w:bCs w:val="0"/>
          <w:sz w:val="24"/>
          <w:szCs w:val="24"/>
          <w:shd w:val="clear" w:color="auto" w:fill="FFFFFF"/>
          <w:lang w:val="zh-TW"/>
        </w:rPr>
        <w:t>年的原厂授权和原厂售后服务，</w:t>
      </w:r>
      <w:r>
        <w:rPr>
          <w:rFonts w:hint="eastAsia" w:ascii="宋体" w:hAnsi="宋体" w:eastAsia="宋体" w:cs="宋体"/>
          <w:sz w:val="24"/>
          <w:szCs w:val="24"/>
          <w:shd w:val="clear" w:color="auto" w:fill="FFFFFF"/>
          <w:lang w:val="zh-TW"/>
        </w:rPr>
        <w:t>请在描述中提供原厂售后服务范围（保修范围、响应时间、是否上门等信息）。</w:t>
      </w:r>
    </w:p>
    <w:p>
      <w:pPr>
        <w:numPr>
          <w:ilvl w:val="0"/>
          <w:numId w:val="4"/>
        </w:numPr>
        <w:spacing w:line="360" w:lineRule="auto"/>
        <w:ind w:left="425" w:leftChars="0" w:hanging="425" w:firstLineChars="0"/>
        <w:rPr>
          <w:rFonts w:hint="eastAsia" w:ascii="宋体" w:hAnsi="宋体" w:eastAsia="宋体" w:cs="宋体"/>
          <w:sz w:val="24"/>
          <w:szCs w:val="24"/>
          <w:shd w:val="clear" w:color="auto" w:fill="FFFFFF"/>
          <w:lang w:val="zh-TW"/>
        </w:rPr>
      </w:pPr>
      <w:r>
        <w:rPr>
          <w:rFonts w:hint="eastAsia" w:ascii="宋体" w:hAnsi="宋体" w:eastAsia="宋体" w:cs="宋体"/>
          <w:sz w:val="24"/>
          <w:szCs w:val="24"/>
          <w:shd w:val="clear" w:color="auto" w:fill="FFFFFF"/>
          <w:lang w:val="zh-TW"/>
        </w:rPr>
        <w:t>所有产品保证在原厂注册信息为上海市公共卫生临床中心所有。</w:t>
      </w:r>
    </w:p>
    <w:p>
      <w:pPr>
        <w:numPr>
          <w:ilvl w:val="0"/>
          <w:numId w:val="4"/>
        </w:numPr>
        <w:spacing w:line="360" w:lineRule="auto"/>
        <w:ind w:left="425" w:leftChars="0" w:hanging="425" w:firstLineChars="0"/>
        <w:rPr>
          <w:rFonts w:hint="eastAsia" w:ascii="宋体" w:hAnsi="宋体" w:eastAsia="宋体" w:cs="宋体"/>
          <w:sz w:val="24"/>
          <w:szCs w:val="24"/>
          <w:shd w:val="clear" w:color="auto" w:fill="FFFFFF"/>
          <w:lang w:val="zh-TW"/>
        </w:rPr>
      </w:pPr>
      <w:r>
        <w:rPr>
          <w:rFonts w:hint="eastAsia" w:ascii="宋体" w:hAnsi="宋体" w:eastAsia="宋体" w:cs="宋体"/>
          <w:sz w:val="24"/>
          <w:szCs w:val="24"/>
          <w:shd w:val="clear" w:color="auto" w:fill="FFFFFF"/>
          <w:lang w:val="zh-TW"/>
        </w:rPr>
        <w:t>充分考虑系统现在的需求和将来的发展，技术上要体现实用性、成熟性和先进性。同时，产品的选择要充分考虑到系统的可扩充性和与原有设备的兼容性。</w:t>
      </w:r>
    </w:p>
    <w:p>
      <w:pPr>
        <w:numPr>
          <w:ilvl w:val="0"/>
          <w:numId w:val="4"/>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shd w:val="clear" w:color="auto" w:fill="FFFFFF"/>
          <w:lang w:val="zh-TW"/>
        </w:rPr>
        <w:t>中标人</w:t>
      </w:r>
      <w:r>
        <w:rPr>
          <w:rFonts w:hint="eastAsia" w:ascii="宋体" w:hAnsi="宋体" w:eastAsia="宋体" w:cs="宋体"/>
          <w:bCs/>
          <w:sz w:val="24"/>
          <w:szCs w:val="24"/>
          <w:lang w:val="zh-TW"/>
        </w:rPr>
        <w:t>所提供的产品没有达到验收标准，中标人需免费提供所需的新增产品，达到验收要求为止（招标人不追加额外</w:t>
      </w:r>
      <w:r>
        <w:rPr>
          <w:rFonts w:hint="eastAsia" w:ascii="宋体" w:hAnsi="宋体" w:cs="宋体"/>
          <w:bCs/>
          <w:sz w:val="24"/>
          <w:szCs w:val="24"/>
          <w:lang w:val="en-US" w:eastAsia="zh-CN"/>
        </w:rPr>
        <w:t>预算</w:t>
      </w:r>
      <w:r>
        <w:rPr>
          <w:rFonts w:hint="eastAsia" w:ascii="宋体" w:hAnsi="宋体" w:eastAsia="宋体" w:cs="宋体"/>
          <w:bCs/>
          <w:sz w:val="24"/>
          <w:szCs w:val="24"/>
          <w:lang w:val="zh-TW"/>
        </w:rPr>
        <w:t>）；如果多次验收仍没有达到验收标准，医院有权解除合同并追究中标人相应的赔偿责任。</w:t>
      </w:r>
    </w:p>
    <w:p>
      <w:pPr>
        <w:pStyle w:val="2"/>
        <w:keepNext w:val="0"/>
        <w:widowControl/>
        <w:numPr>
          <w:ilvl w:val="0"/>
          <w:numId w:val="2"/>
        </w:numPr>
        <w:adjustRightInd w:val="0"/>
        <w:snapToGrid w:val="0"/>
        <w:spacing w:before="156" w:beforeLines="50" w:after="0" w:line="360" w:lineRule="auto"/>
        <w:ind w:left="0" w:leftChars="0" w:firstLine="0" w:firstLineChars="0"/>
        <w:jc w:val="left"/>
        <w:rPr>
          <w:rFonts w:hint="eastAsia" w:ascii="宋体" w:hAnsi="宋体" w:eastAsia="宋体" w:cs="宋体"/>
          <w:sz w:val="24"/>
          <w:szCs w:val="24"/>
        </w:rPr>
      </w:pPr>
      <w:r>
        <w:rPr>
          <w:rFonts w:hint="eastAsia" w:ascii="宋体" w:hAnsi="宋体" w:cs="宋体"/>
          <w:sz w:val="24"/>
          <w:szCs w:val="24"/>
          <w:lang w:val="en-US" w:eastAsia="zh-CN"/>
        </w:rPr>
        <w:t>建设</w:t>
      </w:r>
      <w:r>
        <w:rPr>
          <w:rFonts w:hint="eastAsia" w:ascii="宋体" w:hAnsi="宋体" w:eastAsia="宋体" w:cs="宋体"/>
          <w:sz w:val="24"/>
          <w:szCs w:val="24"/>
        </w:rPr>
        <w:t>清单</w:t>
      </w:r>
    </w:p>
    <w:p>
      <w:pPr>
        <w:spacing w:line="360" w:lineRule="auto"/>
        <w:ind w:firstLine="480" w:firstLineChars="200"/>
        <w:rPr>
          <w:rFonts w:hint="default" w:eastAsia="宋体"/>
          <w:lang w:val="en-US" w:eastAsia="zh-CN"/>
        </w:rPr>
      </w:pPr>
      <w:r>
        <w:rPr>
          <w:rFonts w:hint="eastAsia" w:ascii="宋体" w:hAnsi="宋体" w:cs="宋体"/>
          <w:sz w:val="24"/>
          <w:szCs w:val="24"/>
          <w:lang w:val="en-US" w:eastAsia="zh-CN"/>
        </w:rPr>
        <w:t>本次共完成4个病区的智慧病房信息化建设，共计255张床位。具体设备采购清单如下：</w:t>
      </w:r>
    </w:p>
    <w:tbl>
      <w:tblPr>
        <w:tblStyle w:val="10"/>
        <w:tblW w:w="4747" w:type="dxa"/>
        <w:jc w:val="center"/>
        <w:tblLayout w:type="fixed"/>
        <w:tblCellMar>
          <w:top w:w="0" w:type="dxa"/>
          <w:left w:w="108" w:type="dxa"/>
          <w:bottom w:w="0" w:type="dxa"/>
          <w:right w:w="108" w:type="dxa"/>
        </w:tblCellMar>
      </w:tblPr>
      <w:tblGrid>
        <w:gridCol w:w="685"/>
        <w:gridCol w:w="2465"/>
        <w:gridCol w:w="635"/>
        <w:gridCol w:w="962"/>
      </w:tblGrid>
      <w:tr>
        <w:tblPrEx>
          <w:tblCellMar>
            <w:top w:w="0" w:type="dxa"/>
            <w:left w:w="108" w:type="dxa"/>
            <w:bottom w:w="0" w:type="dxa"/>
            <w:right w:w="108" w:type="dxa"/>
          </w:tblCellMar>
        </w:tblPrEx>
        <w:trPr>
          <w:trHeight w:val="36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00CCFF"/>
            <w:vAlign w:val="center"/>
          </w:tcPr>
          <w:p>
            <w:pPr>
              <w:widowControl/>
              <w:jc w:val="center"/>
              <w:textAlignment w:val="center"/>
              <w:rPr>
                <w:rFonts w:hint="default" w:ascii="Microsoft JhengHei" w:hAnsi="Microsoft JhengHei" w:eastAsia="宋体" w:cs="Microsoft JhengHei"/>
                <w:b/>
                <w:bCs/>
                <w:color w:val="000000"/>
                <w:sz w:val="20"/>
                <w:lang w:val="en-US" w:eastAsia="zh-CN"/>
              </w:rPr>
            </w:pPr>
            <w:r>
              <w:rPr>
                <w:rFonts w:hint="eastAsia" w:ascii="Microsoft JhengHei" w:hAnsi="Microsoft JhengHei" w:cs="Microsoft JhengHei"/>
                <w:b/>
                <w:bCs/>
                <w:color w:val="000000"/>
                <w:sz w:val="20"/>
                <w:lang w:val="en-US" w:eastAsia="zh-CN"/>
              </w:rPr>
              <w:t>序号</w:t>
            </w:r>
          </w:p>
        </w:tc>
        <w:tc>
          <w:tcPr>
            <w:tcW w:w="2465" w:type="dxa"/>
            <w:tcBorders>
              <w:top w:val="single" w:color="000000" w:sz="4" w:space="0"/>
              <w:left w:val="single" w:color="000000" w:sz="4" w:space="0"/>
              <w:bottom w:val="single" w:color="000000" w:sz="4" w:space="0"/>
              <w:right w:val="single" w:color="000000" w:sz="4" w:space="0"/>
            </w:tcBorders>
            <w:shd w:val="clear" w:color="auto" w:fill="00CCFF"/>
            <w:vAlign w:val="center"/>
          </w:tcPr>
          <w:p>
            <w:pPr>
              <w:widowControl/>
              <w:jc w:val="center"/>
              <w:textAlignment w:val="center"/>
              <w:rPr>
                <w:rFonts w:ascii="Microsoft JhengHei" w:hAnsi="Microsoft JhengHei" w:eastAsia="Microsoft JhengHei" w:cs="Microsoft JhengHei"/>
                <w:b/>
                <w:bCs/>
                <w:color w:val="000000"/>
                <w:sz w:val="20"/>
              </w:rPr>
            </w:pPr>
            <w:r>
              <w:rPr>
                <w:rFonts w:hint="eastAsia" w:ascii="Microsoft JhengHei" w:hAnsi="Microsoft JhengHei" w:eastAsia="宋体" w:cs="Microsoft JhengHei"/>
                <w:b/>
                <w:bCs/>
                <w:color w:val="000000"/>
                <w:kern w:val="0"/>
                <w:sz w:val="20"/>
                <w:lang w:val="en-US" w:eastAsia="zh-CN" w:bidi="ar"/>
              </w:rPr>
              <w:t>设备名称</w:t>
            </w:r>
          </w:p>
        </w:tc>
        <w:tc>
          <w:tcPr>
            <w:tcW w:w="635" w:type="dxa"/>
            <w:tcBorders>
              <w:top w:val="single" w:color="000000" w:sz="4" w:space="0"/>
              <w:left w:val="single" w:color="000000" w:sz="4" w:space="0"/>
              <w:bottom w:val="single" w:color="000000" w:sz="4" w:space="0"/>
              <w:right w:val="single" w:color="000000" w:sz="4" w:space="0"/>
            </w:tcBorders>
            <w:shd w:val="clear" w:color="auto" w:fill="00CCFF"/>
            <w:vAlign w:val="center"/>
          </w:tcPr>
          <w:p>
            <w:pPr>
              <w:widowControl/>
              <w:jc w:val="center"/>
              <w:textAlignment w:val="center"/>
              <w:rPr>
                <w:rFonts w:ascii="Microsoft JhengHei" w:hAnsi="Microsoft JhengHei" w:eastAsia="Microsoft JhengHei" w:cs="Microsoft JhengHei"/>
                <w:b/>
                <w:bCs/>
                <w:color w:val="000000"/>
                <w:sz w:val="20"/>
              </w:rPr>
            </w:pPr>
            <w:r>
              <w:rPr>
                <w:rFonts w:hint="eastAsia" w:ascii="Microsoft JhengHei" w:hAnsi="Microsoft JhengHei" w:eastAsia="Microsoft JhengHei" w:cs="Microsoft JhengHei"/>
                <w:b/>
                <w:bCs/>
                <w:color w:val="000000"/>
                <w:kern w:val="0"/>
                <w:sz w:val="20"/>
                <w:lang w:bidi="ar"/>
              </w:rPr>
              <w:t>数量</w:t>
            </w:r>
          </w:p>
        </w:tc>
        <w:tc>
          <w:tcPr>
            <w:tcW w:w="962" w:type="dxa"/>
            <w:tcBorders>
              <w:top w:val="single" w:color="000000" w:sz="4" w:space="0"/>
              <w:left w:val="single" w:color="000000" w:sz="4" w:space="0"/>
              <w:bottom w:val="single" w:color="000000" w:sz="4" w:space="0"/>
              <w:right w:val="single" w:color="000000" w:sz="4" w:space="0"/>
            </w:tcBorders>
            <w:shd w:val="clear" w:color="auto" w:fill="00CCFF"/>
            <w:vAlign w:val="center"/>
          </w:tcPr>
          <w:p>
            <w:pPr>
              <w:widowControl/>
              <w:jc w:val="center"/>
              <w:textAlignment w:val="center"/>
              <w:rPr>
                <w:rFonts w:ascii="Microsoft JhengHei" w:hAnsi="Microsoft JhengHei" w:eastAsia="Microsoft JhengHei" w:cs="Microsoft JhengHei"/>
                <w:b/>
                <w:bCs/>
                <w:color w:val="000000"/>
                <w:sz w:val="20"/>
              </w:rPr>
            </w:pPr>
            <w:r>
              <w:rPr>
                <w:rFonts w:hint="eastAsia" w:ascii="Microsoft JhengHei" w:hAnsi="Microsoft JhengHei" w:eastAsia="Microsoft JhengHei" w:cs="Microsoft JhengHei"/>
                <w:b/>
                <w:bCs/>
                <w:color w:val="000000"/>
                <w:kern w:val="0"/>
                <w:sz w:val="20"/>
                <w:lang w:bidi="ar"/>
              </w:rPr>
              <w:t>单位</w:t>
            </w:r>
          </w:p>
        </w:tc>
      </w:tr>
      <w:tr>
        <w:tblPrEx>
          <w:tblCellMar>
            <w:top w:w="0" w:type="dxa"/>
            <w:left w:w="108" w:type="dxa"/>
            <w:bottom w:w="0" w:type="dxa"/>
            <w:right w:w="108" w:type="dxa"/>
          </w:tblCellMar>
        </w:tblPrEx>
        <w:trPr>
          <w:trHeight w:val="36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0"/>
              </w:rPr>
            </w:pPr>
            <w:r>
              <w:rPr>
                <w:rFonts w:hint="eastAsia" w:ascii="宋体" w:hAnsi="宋体" w:eastAsia="宋体" w:cs="宋体"/>
                <w:i w:val="0"/>
                <w:iCs w:val="0"/>
                <w:color w:val="000000"/>
                <w:kern w:val="0"/>
                <w:sz w:val="20"/>
                <w:szCs w:val="20"/>
                <w:u w:val="none"/>
                <w:lang w:val="en-US" w:eastAsia="zh-CN" w:bidi="ar"/>
              </w:rPr>
              <w:t>1</w:t>
            </w:r>
          </w:p>
        </w:tc>
        <w:tc>
          <w:tcPr>
            <w:tcW w:w="2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sz w:val="20"/>
              </w:rPr>
            </w:pPr>
            <w:r>
              <w:rPr>
                <w:rFonts w:hint="eastAsia" w:ascii="宋体" w:hAnsi="宋体" w:eastAsia="宋体" w:cs="宋体"/>
                <w:i w:val="0"/>
                <w:iCs w:val="0"/>
                <w:color w:val="000000"/>
                <w:kern w:val="0"/>
                <w:sz w:val="20"/>
                <w:szCs w:val="20"/>
                <w:u w:val="none"/>
                <w:lang w:val="en-US" w:eastAsia="zh-CN" w:bidi="ar"/>
              </w:rPr>
              <w:t>医护主机</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0"/>
              </w:rPr>
            </w:pPr>
            <w:r>
              <w:rPr>
                <w:rFonts w:hint="eastAsia" w:ascii="宋体" w:hAnsi="宋体" w:eastAsia="宋体" w:cs="宋体"/>
                <w:i w:val="0"/>
                <w:iCs w:val="0"/>
                <w:color w:val="000000"/>
                <w:kern w:val="0"/>
                <w:sz w:val="20"/>
                <w:szCs w:val="20"/>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rPr>
            </w:pPr>
            <w:r>
              <w:rPr>
                <w:rFonts w:hint="eastAsia" w:ascii="宋体" w:hAnsi="宋体" w:eastAsia="宋体" w:cs="宋体"/>
                <w:i w:val="0"/>
                <w:iCs w:val="0"/>
                <w:color w:val="000000"/>
                <w:kern w:val="0"/>
                <w:sz w:val="20"/>
                <w:szCs w:val="20"/>
                <w:u w:val="none"/>
                <w:lang w:val="en-US" w:eastAsia="zh-CN" w:bidi="ar"/>
              </w:rPr>
              <w:t>台</w:t>
            </w:r>
          </w:p>
        </w:tc>
      </w:tr>
      <w:tr>
        <w:tblPrEx>
          <w:tblCellMar>
            <w:top w:w="0" w:type="dxa"/>
            <w:left w:w="108" w:type="dxa"/>
            <w:bottom w:w="0" w:type="dxa"/>
            <w:right w:w="108" w:type="dxa"/>
          </w:tblCellMar>
        </w:tblPrEx>
        <w:trPr>
          <w:trHeight w:val="36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0"/>
              </w:rPr>
            </w:pPr>
            <w:r>
              <w:rPr>
                <w:rFonts w:hint="eastAsia" w:ascii="宋体" w:hAnsi="宋体" w:eastAsia="宋体" w:cs="宋体"/>
                <w:i w:val="0"/>
                <w:iCs w:val="0"/>
                <w:color w:val="000000"/>
                <w:kern w:val="0"/>
                <w:sz w:val="20"/>
                <w:szCs w:val="20"/>
                <w:u w:val="none"/>
                <w:lang w:val="en-US" w:eastAsia="zh-CN" w:bidi="ar"/>
              </w:rPr>
              <w:t>2</w:t>
            </w:r>
          </w:p>
        </w:tc>
        <w:tc>
          <w:tcPr>
            <w:tcW w:w="2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sz w:val="20"/>
              </w:rPr>
            </w:pPr>
            <w:r>
              <w:rPr>
                <w:rFonts w:hint="eastAsia" w:ascii="宋体" w:hAnsi="宋体" w:eastAsia="宋体" w:cs="宋体"/>
                <w:i w:val="0"/>
                <w:iCs w:val="0"/>
                <w:color w:val="000000"/>
                <w:kern w:val="0"/>
                <w:sz w:val="20"/>
                <w:szCs w:val="20"/>
                <w:u w:val="none"/>
                <w:lang w:val="en-US" w:eastAsia="zh-CN" w:bidi="ar"/>
              </w:rPr>
              <w:t>卫生间分机</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0"/>
              </w:rPr>
            </w:pPr>
            <w:r>
              <w:rPr>
                <w:rFonts w:hint="eastAsia" w:ascii="宋体" w:hAnsi="宋体" w:eastAsia="宋体" w:cs="宋体"/>
                <w:i w:val="0"/>
                <w:iCs w:val="0"/>
                <w:color w:val="000000"/>
                <w:kern w:val="0"/>
                <w:sz w:val="20"/>
                <w:szCs w:val="20"/>
                <w:u w:val="none"/>
                <w:lang w:val="en-US" w:eastAsia="zh-CN" w:bidi="ar"/>
              </w:rPr>
              <w:t>85</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rPr>
            </w:pPr>
            <w:r>
              <w:rPr>
                <w:rFonts w:hint="eastAsia" w:ascii="宋体" w:hAnsi="宋体" w:eastAsia="宋体" w:cs="宋体"/>
                <w:i w:val="0"/>
                <w:iCs w:val="0"/>
                <w:color w:val="000000"/>
                <w:kern w:val="0"/>
                <w:sz w:val="20"/>
                <w:szCs w:val="20"/>
                <w:u w:val="none"/>
                <w:lang w:val="en-US" w:eastAsia="zh-CN" w:bidi="ar"/>
              </w:rPr>
              <w:t>台</w:t>
            </w:r>
          </w:p>
        </w:tc>
      </w:tr>
      <w:tr>
        <w:tblPrEx>
          <w:tblCellMar>
            <w:top w:w="0" w:type="dxa"/>
            <w:left w:w="108" w:type="dxa"/>
            <w:bottom w:w="0" w:type="dxa"/>
            <w:right w:w="108" w:type="dxa"/>
          </w:tblCellMar>
        </w:tblPrEx>
        <w:trPr>
          <w:trHeight w:val="36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0"/>
              </w:rPr>
            </w:pPr>
            <w:r>
              <w:rPr>
                <w:rFonts w:hint="eastAsia" w:ascii="宋体" w:hAnsi="宋体" w:eastAsia="宋体" w:cs="宋体"/>
                <w:i w:val="0"/>
                <w:iCs w:val="0"/>
                <w:color w:val="000000"/>
                <w:kern w:val="0"/>
                <w:sz w:val="20"/>
                <w:szCs w:val="20"/>
                <w:u w:val="none"/>
                <w:lang w:val="en-US" w:eastAsia="zh-CN" w:bidi="ar"/>
              </w:rPr>
              <w:t>3</w:t>
            </w:r>
          </w:p>
        </w:tc>
        <w:tc>
          <w:tcPr>
            <w:tcW w:w="2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sz w:val="20"/>
              </w:rPr>
            </w:pPr>
            <w:r>
              <w:rPr>
                <w:rFonts w:hint="eastAsia" w:ascii="宋体" w:hAnsi="宋体" w:eastAsia="宋体" w:cs="宋体"/>
                <w:i w:val="0"/>
                <w:iCs w:val="0"/>
                <w:color w:val="000000"/>
                <w:kern w:val="0"/>
                <w:sz w:val="20"/>
                <w:szCs w:val="20"/>
                <w:u w:val="none"/>
                <w:lang w:val="en-US" w:eastAsia="zh-CN" w:bidi="ar"/>
              </w:rPr>
              <w:t>床头分机</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0"/>
              </w:rPr>
            </w:pPr>
            <w:r>
              <w:rPr>
                <w:rFonts w:hint="eastAsia" w:ascii="宋体" w:hAnsi="宋体" w:eastAsia="宋体" w:cs="宋体"/>
                <w:i w:val="0"/>
                <w:iCs w:val="0"/>
                <w:color w:val="000000"/>
                <w:kern w:val="0"/>
                <w:sz w:val="20"/>
                <w:szCs w:val="20"/>
                <w:u w:val="none"/>
                <w:lang w:val="en-US" w:eastAsia="zh-CN" w:bidi="ar"/>
              </w:rPr>
              <w:t>255</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rPr>
            </w:pPr>
            <w:r>
              <w:rPr>
                <w:rFonts w:hint="eastAsia" w:ascii="宋体" w:hAnsi="宋体" w:eastAsia="宋体" w:cs="宋体"/>
                <w:i w:val="0"/>
                <w:iCs w:val="0"/>
                <w:color w:val="000000"/>
                <w:kern w:val="0"/>
                <w:sz w:val="20"/>
                <w:szCs w:val="20"/>
                <w:u w:val="none"/>
                <w:lang w:val="en-US" w:eastAsia="zh-CN" w:bidi="ar"/>
              </w:rPr>
              <w:t>台</w:t>
            </w:r>
          </w:p>
        </w:tc>
      </w:tr>
      <w:tr>
        <w:tblPrEx>
          <w:tblCellMar>
            <w:top w:w="0" w:type="dxa"/>
            <w:left w:w="108" w:type="dxa"/>
            <w:bottom w:w="0" w:type="dxa"/>
            <w:right w:w="108" w:type="dxa"/>
          </w:tblCellMar>
        </w:tblPrEx>
        <w:trPr>
          <w:trHeight w:val="36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0"/>
              </w:rPr>
            </w:pPr>
            <w:r>
              <w:rPr>
                <w:rFonts w:hint="eastAsia" w:ascii="宋体" w:hAnsi="宋体" w:eastAsia="宋体" w:cs="宋体"/>
                <w:i w:val="0"/>
                <w:iCs w:val="0"/>
                <w:color w:val="000000"/>
                <w:kern w:val="0"/>
                <w:sz w:val="20"/>
                <w:szCs w:val="20"/>
                <w:u w:val="none"/>
                <w:lang w:val="en-US" w:eastAsia="zh-CN" w:bidi="ar"/>
              </w:rPr>
              <w:t>4</w:t>
            </w:r>
          </w:p>
        </w:tc>
        <w:tc>
          <w:tcPr>
            <w:tcW w:w="2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sz w:val="20"/>
              </w:rPr>
            </w:pPr>
            <w:r>
              <w:rPr>
                <w:rFonts w:hint="eastAsia" w:ascii="宋体" w:hAnsi="宋体" w:eastAsia="宋体" w:cs="宋体"/>
                <w:i w:val="0"/>
                <w:iCs w:val="0"/>
                <w:color w:val="000000"/>
                <w:kern w:val="0"/>
                <w:sz w:val="20"/>
                <w:szCs w:val="20"/>
                <w:u w:val="none"/>
                <w:lang w:val="en-US" w:eastAsia="zh-CN" w:bidi="ar"/>
              </w:rPr>
              <w:t>门口分机（15.6英寸屏）</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0"/>
              </w:rPr>
            </w:pPr>
            <w:r>
              <w:rPr>
                <w:rFonts w:hint="eastAsia" w:ascii="宋体" w:hAnsi="宋体" w:eastAsia="宋体" w:cs="宋体"/>
                <w:i w:val="0"/>
                <w:iCs w:val="0"/>
                <w:color w:val="000000"/>
                <w:kern w:val="0"/>
                <w:sz w:val="20"/>
                <w:szCs w:val="20"/>
                <w:u w:val="none"/>
                <w:lang w:val="en-US" w:eastAsia="zh-CN" w:bidi="ar"/>
              </w:rPr>
              <w:t>85</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rPr>
            </w:pPr>
            <w:r>
              <w:rPr>
                <w:rFonts w:hint="eastAsia" w:ascii="宋体" w:hAnsi="宋体" w:eastAsia="宋体" w:cs="宋体"/>
                <w:i w:val="0"/>
                <w:iCs w:val="0"/>
                <w:color w:val="000000"/>
                <w:kern w:val="0"/>
                <w:sz w:val="20"/>
                <w:szCs w:val="20"/>
                <w:u w:val="none"/>
                <w:lang w:val="en-US" w:eastAsia="zh-CN" w:bidi="ar"/>
              </w:rPr>
              <w:t>台</w:t>
            </w:r>
          </w:p>
        </w:tc>
      </w:tr>
      <w:tr>
        <w:tblPrEx>
          <w:tblCellMar>
            <w:top w:w="0" w:type="dxa"/>
            <w:left w:w="108" w:type="dxa"/>
            <w:bottom w:w="0" w:type="dxa"/>
            <w:right w:w="108" w:type="dxa"/>
          </w:tblCellMar>
        </w:tblPrEx>
        <w:trPr>
          <w:trHeight w:val="36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0"/>
              </w:rPr>
            </w:pPr>
            <w:r>
              <w:rPr>
                <w:rFonts w:hint="eastAsia" w:ascii="宋体" w:hAnsi="宋体" w:eastAsia="宋体" w:cs="宋体"/>
                <w:i w:val="0"/>
                <w:iCs w:val="0"/>
                <w:color w:val="000000"/>
                <w:kern w:val="0"/>
                <w:sz w:val="20"/>
                <w:szCs w:val="20"/>
                <w:u w:val="none"/>
                <w:lang w:val="en-US" w:eastAsia="zh-CN" w:bidi="ar"/>
              </w:rPr>
              <w:t>5</w:t>
            </w:r>
          </w:p>
        </w:tc>
        <w:tc>
          <w:tcPr>
            <w:tcW w:w="2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sz w:val="20"/>
              </w:rPr>
            </w:pPr>
            <w:r>
              <w:rPr>
                <w:rFonts w:hint="eastAsia" w:ascii="宋体" w:hAnsi="宋体" w:eastAsia="宋体" w:cs="宋体"/>
                <w:i w:val="0"/>
                <w:iCs w:val="0"/>
                <w:color w:val="000000"/>
                <w:kern w:val="0"/>
                <w:sz w:val="20"/>
                <w:szCs w:val="20"/>
                <w:u w:val="none"/>
                <w:lang w:val="en-US" w:eastAsia="zh-CN" w:bidi="ar"/>
              </w:rPr>
              <w:t>走廊显示屏</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0"/>
              </w:rPr>
            </w:pPr>
            <w:r>
              <w:rPr>
                <w:rFonts w:hint="eastAsia" w:ascii="宋体" w:hAnsi="宋体" w:eastAsia="宋体" w:cs="宋体"/>
                <w:i w:val="0"/>
                <w:iCs w:val="0"/>
                <w:color w:val="000000"/>
                <w:kern w:val="0"/>
                <w:sz w:val="20"/>
                <w:szCs w:val="20"/>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rPr>
            </w:pPr>
            <w:r>
              <w:rPr>
                <w:rFonts w:hint="eastAsia" w:ascii="宋体" w:hAnsi="宋体" w:eastAsia="宋体" w:cs="宋体"/>
                <w:i w:val="0"/>
                <w:iCs w:val="0"/>
                <w:color w:val="000000"/>
                <w:kern w:val="0"/>
                <w:sz w:val="20"/>
                <w:szCs w:val="20"/>
                <w:u w:val="none"/>
                <w:lang w:val="en-US" w:eastAsia="zh-CN" w:bidi="ar"/>
              </w:rPr>
              <w:t>台</w:t>
            </w:r>
          </w:p>
        </w:tc>
      </w:tr>
    </w:tbl>
    <w:p>
      <w:pPr>
        <w:pStyle w:val="6"/>
        <w:spacing w:line="360" w:lineRule="auto"/>
        <w:rPr>
          <w:rFonts w:hint="eastAsia" w:ascii="宋体" w:hAnsi="宋体" w:eastAsia="宋体" w:cs="宋体"/>
          <w:sz w:val="24"/>
          <w:szCs w:val="24"/>
          <w:lang w:val="en-US" w:eastAsia="zh-CN"/>
        </w:rPr>
      </w:pPr>
    </w:p>
    <w:p>
      <w:pPr>
        <w:pStyle w:val="2"/>
        <w:keepNext w:val="0"/>
        <w:widowControl/>
        <w:numPr>
          <w:ilvl w:val="0"/>
          <w:numId w:val="2"/>
        </w:numPr>
        <w:adjustRightInd w:val="0"/>
        <w:snapToGrid w:val="0"/>
        <w:spacing w:before="156" w:beforeLines="50" w:after="0" w:line="360" w:lineRule="auto"/>
        <w:ind w:left="0" w:leftChars="0" w:firstLine="0" w:firstLineChars="0"/>
        <w:jc w:val="left"/>
        <w:rPr>
          <w:rFonts w:hint="eastAsia" w:ascii="宋体" w:hAnsi="宋体" w:eastAsia="宋体" w:cs="宋体"/>
          <w:sz w:val="24"/>
          <w:szCs w:val="24"/>
        </w:rPr>
      </w:pPr>
      <w:r>
        <w:rPr>
          <w:rFonts w:hint="eastAsia" w:ascii="宋体" w:hAnsi="宋体" w:cs="宋体"/>
          <w:sz w:val="24"/>
          <w:szCs w:val="24"/>
          <w:lang w:val="en-US" w:eastAsia="zh-CN"/>
        </w:rPr>
        <w:t>技术要求</w:t>
      </w:r>
    </w:p>
    <w:p>
      <w:pPr>
        <w:numPr>
          <w:ilvl w:val="0"/>
          <w:numId w:val="5"/>
        </w:numPr>
        <w:spacing w:line="360" w:lineRule="auto"/>
        <w:ind w:left="425" w:leftChars="0" w:hanging="425" w:firstLineChars="0"/>
        <w:rPr>
          <w:rFonts w:hint="eastAsia" w:ascii="宋体" w:hAnsi="宋体" w:eastAsia="宋体" w:cs="宋体"/>
          <w:b/>
          <w:kern w:val="0"/>
          <w:sz w:val="24"/>
          <w:szCs w:val="24"/>
          <w:lang w:val="en-US" w:eastAsia="zh-CN"/>
        </w:rPr>
      </w:pPr>
      <w:r>
        <w:rPr>
          <w:rFonts w:hint="eastAsia" w:ascii="宋体" w:hAnsi="宋体" w:eastAsia="宋体" w:cs="宋体"/>
          <w:b/>
          <w:kern w:val="0"/>
          <w:sz w:val="24"/>
          <w:szCs w:val="24"/>
          <w:lang w:val="en-US" w:eastAsia="zh-CN"/>
        </w:rPr>
        <w:t>技术参数要求</w:t>
      </w:r>
    </w:p>
    <w:tbl>
      <w:tblPr>
        <w:tblStyle w:val="10"/>
        <w:tblW w:w="4998" w:type="pct"/>
        <w:jc w:val="center"/>
        <w:tblLayout w:type="autofit"/>
        <w:tblCellMar>
          <w:top w:w="0" w:type="dxa"/>
          <w:left w:w="108" w:type="dxa"/>
          <w:bottom w:w="0" w:type="dxa"/>
          <w:right w:w="108" w:type="dxa"/>
        </w:tblCellMar>
      </w:tblPr>
      <w:tblGrid>
        <w:gridCol w:w="856"/>
        <w:gridCol w:w="2226"/>
        <w:gridCol w:w="5437"/>
      </w:tblGrid>
      <w:tr>
        <w:tblPrEx>
          <w:tblCellMar>
            <w:top w:w="0" w:type="dxa"/>
            <w:left w:w="108" w:type="dxa"/>
            <w:bottom w:w="0" w:type="dxa"/>
            <w:right w:w="108" w:type="dxa"/>
          </w:tblCellMar>
        </w:tblPrEx>
        <w:trPr>
          <w:trHeight w:val="3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00CCFF"/>
            <w:vAlign w:val="center"/>
          </w:tcPr>
          <w:p>
            <w:pPr>
              <w:widowControl/>
              <w:jc w:val="center"/>
              <w:textAlignment w:val="center"/>
              <w:rPr>
                <w:rFonts w:hint="eastAsia" w:ascii="Microsoft JhengHei" w:hAnsi="Microsoft JhengHei" w:eastAsia="宋体" w:cs="Microsoft JhengHei"/>
                <w:b/>
                <w:bCs/>
                <w:color w:val="000000"/>
                <w:sz w:val="20"/>
                <w:lang w:eastAsia="zh-CN"/>
              </w:rPr>
            </w:pPr>
            <w:r>
              <w:rPr>
                <w:rFonts w:hint="eastAsia" w:ascii="宋体" w:hAnsi="宋体" w:cs="宋体"/>
                <w:b/>
                <w:bCs/>
                <w:color w:val="000000"/>
                <w:kern w:val="0"/>
                <w:sz w:val="20"/>
                <w:lang w:val="en-US" w:eastAsia="zh-CN" w:bidi="ar"/>
              </w:rPr>
              <w:t>序号</w:t>
            </w:r>
          </w:p>
        </w:tc>
        <w:tc>
          <w:tcPr>
            <w:tcW w:w="1306" w:type="pct"/>
            <w:tcBorders>
              <w:top w:val="single" w:color="000000" w:sz="4" w:space="0"/>
              <w:left w:val="single" w:color="000000" w:sz="4" w:space="0"/>
              <w:bottom w:val="single" w:color="000000" w:sz="4" w:space="0"/>
              <w:right w:val="single" w:color="000000" w:sz="4" w:space="0"/>
            </w:tcBorders>
            <w:shd w:val="clear" w:color="auto" w:fill="00CCFF"/>
            <w:vAlign w:val="center"/>
          </w:tcPr>
          <w:p>
            <w:pPr>
              <w:widowControl/>
              <w:jc w:val="center"/>
              <w:textAlignment w:val="center"/>
              <w:rPr>
                <w:rFonts w:ascii="Microsoft JhengHei" w:hAnsi="Microsoft JhengHei" w:eastAsia="Microsoft JhengHei" w:cs="Microsoft JhengHei"/>
                <w:b/>
                <w:bCs/>
                <w:color w:val="000000"/>
                <w:sz w:val="20"/>
              </w:rPr>
            </w:pPr>
            <w:r>
              <w:rPr>
                <w:rFonts w:hint="eastAsia" w:ascii="Microsoft JhengHei" w:hAnsi="Microsoft JhengHei" w:eastAsia="宋体" w:cs="Microsoft JhengHei"/>
                <w:b/>
                <w:bCs/>
                <w:color w:val="000000"/>
                <w:kern w:val="0"/>
                <w:sz w:val="20"/>
                <w:lang w:val="en-US" w:eastAsia="zh-CN" w:bidi="ar"/>
              </w:rPr>
              <w:t>设备名称</w:t>
            </w:r>
          </w:p>
        </w:tc>
        <w:tc>
          <w:tcPr>
            <w:tcW w:w="3190" w:type="pct"/>
            <w:tcBorders>
              <w:top w:val="single" w:color="000000" w:sz="4" w:space="0"/>
              <w:left w:val="single" w:color="000000" w:sz="4" w:space="0"/>
              <w:bottom w:val="single" w:color="000000" w:sz="4" w:space="0"/>
              <w:right w:val="single" w:color="000000" w:sz="4" w:space="0"/>
            </w:tcBorders>
            <w:shd w:val="clear" w:color="auto" w:fill="00CCFF"/>
            <w:vAlign w:val="center"/>
          </w:tcPr>
          <w:p>
            <w:pPr>
              <w:widowControl/>
              <w:jc w:val="center"/>
              <w:textAlignment w:val="center"/>
              <w:rPr>
                <w:rFonts w:hint="default" w:ascii="Microsoft JhengHei" w:hAnsi="Microsoft JhengHei" w:eastAsia="宋体" w:cs="Microsoft JhengHei"/>
                <w:b/>
                <w:bCs/>
                <w:color w:val="000000"/>
                <w:sz w:val="20"/>
                <w:lang w:val="en-US" w:eastAsia="zh-CN"/>
              </w:rPr>
            </w:pPr>
            <w:r>
              <w:rPr>
                <w:rFonts w:hint="eastAsia" w:ascii="Microsoft JhengHei" w:hAnsi="Microsoft JhengHei" w:eastAsia="Microsoft JhengHei" w:cs="Microsoft JhengHei"/>
                <w:b/>
                <w:bCs/>
                <w:color w:val="000000"/>
                <w:kern w:val="0"/>
                <w:sz w:val="20"/>
                <w:lang w:bidi="ar"/>
              </w:rPr>
              <w:t>技术</w:t>
            </w:r>
            <w:r>
              <w:rPr>
                <w:rFonts w:hint="eastAsia" w:ascii="Microsoft JhengHei" w:hAnsi="Microsoft JhengHei" w:eastAsia="宋体" w:cs="Microsoft JhengHei"/>
                <w:b/>
                <w:bCs/>
                <w:color w:val="000000"/>
                <w:kern w:val="0"/>
                <w:sz w:val="20"/>
                <w:lang w:val="en-US" w:eastAsia="zh-CN" w:bidi="ar"/>
              </w:rPr>
              <w:t>参数要求</w:t>
            </w:r>
          </w:p>
        </w:tc>
      </w:tr>
      <w:tr>
        <w:tblPrEx>
          <w:tblCellMar>
            <w:top w:w="0" w:type="dxa"/>
            <w:left w:w="108" w:type="dxa"/>
            <w:bottom w:w="0" w:type="dxa"/>
            <w:right w:w="108" w:type="dxa"/>
          </w:tblCellMar>
        </w:tblPrEx>
        <w:trPr>
          <w:trHeight w:val="3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lang w:val="en-US" w:eastAsia="zh-CN"/>
              </w:rPr>
            </w:pPr>
            <w:r>
              <w:rPr>
                <w:rFonts w:hint="eastAsia" w:ascii="宋体" w:hAnsi="宋体" w:cs="宋体"/>
                <w:color w:val="000000"/>
                <w:sz w:val="20"/>
                <w:lang w:val="en-US" w:eastAsia="zh-CN"/>
              </w:rPr>
              <w:t>1</w:t>
            </w: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医护主机</w:t>
            </w:r>
          </w:p>
        </w:tc>
        <w:tc>
          <w:tcPr>
            <w:tcW w:w="31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1.采用安卓</w:t>
            </w:r>
            <w:r>
              <w:rPr>
                <w:rFonts w:hint="eastAsia" w:ascii="宋体" w:hAnsi="宋体" w:cs="宋体"/>
                <w:color w:val="000000"/>
                <w:kern w:val="0"/>
                <w:sz w:val="20"/>
                <w:lang w:val="en-US" w:eastAsia="zh-CN" w:bidi="ar"/>
              </w:rPr>
              <w:t>不低于</w:t>
            </w:r>
            <w:r>
              <w:rPr>
                <w:rFonts w:hint="eastAsia" w:ascii="宋体" w:hAnsi="宋体" w:cs="宋体"/>
                <w:color w:val="000000"/>
                <w:kern w:val="0"/>
                <w:sz w:val="20"/>
                <w:lang w:bidi="ar"/>
              </w:rPr>
              <w:t>11.0操作系统，</w:t>
            </w:r>
            <w:r>
              <w:rPr>
                <w:rFonts w:hint="eastAsia" w:ascii="宋体" w:hAnsi="宋体" w:cs="宋体"/>
                <w:color w:val="000000"/>
                <w:kern w:val="0"/>
                <w:sz w:val="20"/>
                <w:lang w:val="en-US" w:eastAsia="zh-CN" w:bidi="ar"/>
              </w:rPr>
              <w:t>不小于</w:t>
            </w:r>
            <w:r>
              <w:rPr>
                <w:rFonts w:hint="eastAsia" w:ascii="宋体" w:hAnsi="宋体" w:cs="宋体"/>
                <w:color w:val="000000"/>
                <w:kern w:val="0"/>
                <w:sz w:val="20"/>
                <w:lang w:bidi="ar"/>
              </w:rPr>
              <w:t>15.6英寸高清液晶屏，电容式液晶屏，分辨率</w:t>
            </w:r>
            <w:r>
              <w:rPr>
                <w:rFonts w:hint="eastAsia" w:ascii="宋体" w:hAnsi="宋体" w:cs="宋体"/>
                <w:color w:val="000000"/>
                <w:kern w:val="0"/>
                <w:sz w:val="20"/>
                <w:lang w:val="en-US" w:eastAsia="zh-CN" w:bidi="ar"/>
              </w:rPr>
              <w:t>不低于</w:t>
            </w:r>
            <w:r>
              <w:rPr>
                <w:rFonts w:hint="eastAsia" w:ascii="宋体" w:hAnsi="宋体" w:cs="宋体"/>
                <w:color w:val="000000"/>
                <w:kern w:val="0"/>
                <w:sz w:val="20"/>
                <w:lang w:bidi="ar"/>
              </w:rPr>
              <w:t>1920*1080；采用</w:t>
            </w:r>
            <w:r>
              <w:rPr>
                <w:rFonts w:hint="eastAsia" w:ascii="宋体" w:hAnsi="宋体" w:cs="宋体"/>
                <w:color w:val="000000"/>
                <w:kern w:val="0"/>
                <w:sz w:val="20"/>
                <w:lang w:val="en-US" w:eastAsia="zh-CN" w:bidi="ar"/>
              </w:rPr>
              <w:t>不低于</w:t>
            </w:r>
            <w:r>
              <w:rPr>
                <w:rFonts w:hint="eastAsia" w:ascii="宋体" w:hAnsi="宋体" w:cs="宋体"/>
                <w:color w:val="000000"/>
                <w:kern w:val="0"/>
                <w:sz w:val="20"/>
                <w:lang w:bidi="ar"/>
              </w:rPr>
              <w:t>1300万像素前置摄像头；</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2.采用</w:t>
            </w:r>
            <w:r>
              <w:rPr>
                <w:rFonts w:hint="eastAsia" w:ascii="宋体" w:hAnsi="宋体" w:cs="宋体"/>
                <w:color w:val="000000"/>
                <w:kern w:val="0"/>
                <w:sz w:val="20"/>
                <w:lang w:val="en-US" w:eastAsia="zh-CN" w:bidi="ar"/>
              </w:rPr>
              <w:t>不低于</w:t>
            </w:r>
            <w:r>
              <w:rPr>
                <w:rFonts w:hint="eastAsia" w:ascii="宋体" w:hAnsi="宋体" w:cs="宋体"/>
                <w:color w:val="000000"/>
                <w:kern w:val="0"/>
                <w:sz w:val="20"/>
                <w:lang w:bidi="ar"/>
              </w:rPr>
              <w:t>6核CPU，主频</w:t>
            </w:r>
            <w:r>
              <w:rPr>
                <w:rFonts w:hint="eastAsia" w:ascii="宋体" w:hAnsi="宋体" w:cs="宋体"/>
                <w:color w:val="000000"/>
                <w:kern w:val="0"/>
                <w:sz w:val="20"/>
                <w:lang w:val="en-US" w:eastAsia="zh-CN" w:bidi="ar"/>
              </w:rPr>
              <w:t>不低于</w:t>
            </w:r>
            <w:r>
              <w:rPr>
                <w:rFonts w:hint="eastAsia" w:ascii="宋体" w:hAnsi="宋体" w:cs="宋体"/>
                <w:color w:val="000000"/>
                <w:kern w:val="0"/>
                <w:sz w:val="20"/>
                <w:lang w:bidi="ar"/>
              </w:rPr>
              <w:t>1.8GHz，搭配</w:t>
            </w:r>
            <w:r>
              <w:rPr>
                <w:rFonts w:hint="eastAsia" w:ascii="宋体" w:hAnsi="宋体" w:cs="宋体"/>
                <w:color w:val="000000"/>
                <w:kern w:val="0"/>
                <w:sz w:val="20"/>
                <w:lang w:val="en-US" w:eastAsia="zh-CN" w:bidi="ar"/>
              </w:rPr>
              <w:t>不低于</w:t>
            </w:r>
            <w:r>
              <w:rPr>
                <w:rFonts w:hint="eastAsia" w:ascii="宋体" w:hAnsi="宋体" w:cs="宋体"/>
                <w:color w:val="000000"/>
                <w:kern w:val="0"/>
                <w:sz w:val="20"/>
                <w:lang w:bidi="ar"/>
              </w:rPr>
              <w:t>4G+32G的内存存储组合，保证运行更流畅；</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3.双声道立体声输出扬声器，支持双MIC输入；</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4.</w:t>
            </w:r>
            <w:r>
              <w:rPr>
                <w:rFonts w:hint="eastAsia" w:ascii="宋体" w:hAnsi="宋体" w:cs="宋体"/>
                <w:color w:val="000000"/>
                <w:kern w:val="0"/>
                <w:sz w:val="20"/>
                <w:lang w:val="en-US" w:eastAsia="zh-CN" w:bidi="ar"/>
              </w:rPr>
              <w:t>采用</w:t>
            </w:r>
            <w:r>
              <w:rPr>
                <w:rFonts w:hint="eastAsia" w:ascii="宋体" w:hAnsi="宋体" w:cs="宋体"/>
                <w:color w:val="000000"/>
                <w:kern w:val="0"/>
                <w:sz w:val="20"/>
                <w:lang w:bidi="ar"/>
              </w:rPr>
              <w:t>电话式话筒设计，摘机自动接听收到的呼叫请求，无需额外操作；</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5.支持wifi与有线两种网络形式，组网方式灵活；</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6.支持电源箱集中供电、POE供电、电源适配器单独供电三种供电方式。</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7.软件功能：护理通讯、床位一览、呼叫分机、医声助手、门禁控制、话筒广播、音频广播、呼叫记录、留影留言、系统设置等。</w:t>
            </w:r>
          </w:p>
        </w:tc>
      </w:tr>
      <w:tr>
        <w:tblPrEx>
          <w:tblCellMar>
            <w:top w:w="0" w:type="dxa"/>
            <w:left w:w="108" w:type="dxa"/>
            <w:bottom w:w="0" w:type="dxa"/>
            <w:right w:w="108" w:type="dxa"/>
          </w:tblCellMar>
        </w:tblPrEx>
        <w:trPr>
          <w:trHeight w:val="3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sz w:val="20"/>
                <w:lang w:val="en-US" w:eastAsia="zh-CN"/>
              </w:rPr>
            </w:pPr>
            <w:r>
              <w:rPr>
                <w:rFonts w:hint="eastAsia" w:ascii="宋体" w:hAnsi="宋体" w:cs="宋体"/>
                <w:color w:val="000000"/>
                <w:sz w:val="20"/>
                <w:lang w:val="en-US" w:eastAsia="zh-CN"/>
              </w:rPr>
              <w:t>2</w:t>
            </w: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2"/>
                <w:sz w:val="20"/>
                <w:lang w:val="en-US" w:eastAsia="zh-CN" w:bidi="ar-SA"/>
              </w:rPr>
            </w:pPr>
            <w:r>
              <w:rPr>
                <w:rFonts w:hint="eastAsia" w:ascii="宋体" w:hAnsi="宋体" w:cs="宋体"/>
                <w:color w:val="000000"/>
                <w:kern w:val="0"/>
                <w:sz w:val="20"/>
                <w:lang w:bidi="ar"/>
              </w:rPr>
              <w:t>卫生间分机</w:t>
            </w:r>
          </w:p>
        </w:tc>
        <w:tc>
          <w:tcPr>
            <w:tcW w:w="31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2"/>
                <w:sz w:val="20"/>
                <w:lang w:val="en-US" w:eastAsia="zh-CN" w:bidi="ar-SA"/>
              </w:rPr>
            </w:pPr>
            <w:r>
              <w:rPr>
                <w:rFonts w:hint="eastAsia" w:ascii="宋体" w:hAnsi="宋体" w:cs="宋体"/>
                <w:color w:val="000000"/>
                <w:kern w:val="0"/>
                <w:sz w:val="20"/>
                <w:lang w:bidi="ar"/>
              </w:rPr>
              <w:t>1.</w:t>
            </w:r>
            <w:r>
              <w:rPr>
                <w:rFonts w:hint="eastAsia" w:ascii="宋体" w:hAnsi="宋体" w:cs="宋体"/>
                <w:color w:val="000000"/>
                <w:kern w:val="0"/>
                <w:sz w:val="20"/>
                <w:lang w:val="en-US" w:eastAsia="zh-CN" w:bidi="ar"/>
              </w:rPr>
              <w:t>具备</w:t>
            </w:r>
            <w:r>
              <w:rPr>
                <w:rFonts w:hint="eastAsia" w:ascii="宋体" w:hAnsi="宋体" w:cs="宋体"/>
                <w:color w:val="000000"/>
                <w:kern w:val="0"/>
                <w:sz w:val="20"/>
                <w:lang w:bidi="ar"/>
              </w:rPr>
              <w:t>超大红色显著紧急呼叫按钮及拉绳设计，更便于患者在紧急情况进行操作；</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2.</w:t>
            </w:r>
            <w:r>
              <w:rPr>
                <w:rFonts w:hint="eastAsia" w:ascii="宋体" w:hAnsi="宋体" w:cs="宋体"/>
                <w:color w:val="000000"/>
                <w:kern w:val="0"/>
                <w:sz w:val="20"/>
                <w:lang w:val="en-US" w:eastAsia="zh-CN" w:bidi="ar"/>
              </w:rPr>
              <w:t>支持</w:t>
            </w:r>
            <w:r>
              <w:rPr>
                <w:rFonts w:hint="eastAsia" w:ascii="宋体" w:hAnsi="宋体" w:cs="宋体"/>
                <w:color w:val="000000"/>
                <w:kern w:val="0"/>
                <w:sz w:val="20"/>
                <w:lang w:bidi="ar"/>
              </w:rPr>
              <w:t>呼叫时有明显的声光报警提示，并在病区中有广播提示，便于医护人员快速响应；</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3.</w:t>
            </w:r>
            <w:r>
              <w:rPr>
                <w:rFonts w:hint="eastAsia" w:ascii="宋体" w:hAnsi="宋体" w:cs="宋体"/>
                <w:color w:val="000000"/>
                <w:kern w:val="0"/>
                <w:sz w:val="20"/>
                <w:lang w:val="en-US" w:eastAsia="zh-CN" w:bidi="ar"/>
              </w:rPr>
              <w:t>支持</w:t>
            </w:r>
            <w:r>
              <w:rPr>
                <w:rFonts w:hint="eastAsia" w:ascii="宋体" w:hAnsi="宋体" w:cs="宋体"/>
                <w:color w:val="000000"/>
                <w:kern w:val="0"/>
                <w:sz w:val="20"/>
                <w:lang w:bidi="ar"/>
              </w:rPr>
              <w:t>专用的取消按键，便于及时清除误操作；</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4.</w:t>
            </w:r>
            <w:r>
              <w:rPr>
                <w:rFonts w:hint="eastAsia" w:ascii="宋体" w:hAnsi="宋体" w:cs="宋体"/>
                <w:color w:val="000000"/>
                <w:kern w:val="0"/>
                <w:sz w:val="20"/>
                <w:lang w:val="en-US" w:eastAsia="zh-CN" w:bidi="ar"/>
              </w:rPr>
              <w:t>具备</w:t>
            </w:r>
            <w:r>
              <w:rPr>
                <w:rFonts w:hint="eastAsia" w:ascii="宋体" w:hAnsi="宋体" w:cs="宋体"/>
                <w:color w:val="000000"/>
                <w:kern w:val="0"/>
                <w:sz w:val="20"/>
                <w:lang w:bidi="ar"/>
              </w:rPr>
              <w:t>防尘、防水工艺，适合卫生间、淋浴间等潮湿环境使用；</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5.</w:t>
            </w:r>
            <w:r>
              <w:rPr>
                <w:rFonts w:hint="eastAsia" w:ascii="宋体" w:hAnsi="宋体" w:cs="宋体"/>
                <w:color w:val="000000"/>
                <w:kern w:val="0"/>
                <w:sz w:val="20"/>
                <w:lang w:val="en-US" w:eastAsia="zh-CN" w:bidi="ar"/>
              </w:rPr>
              <w:t>满足</w:t>
            </w:r>
            <w:r>
              <w:rPr>
                <w:rFonts w:hint="eastAsia" w:ascii="宋体" w:hAnsi="宋体" w:cs="宋体"/>
                <w:color w:val="000000"/>
                <w:kern w:val="0"/>
                <w:sz w:val="20"/>
                <w:lang w:bidi="ar"/>
              </w:rPr>
              <w:t>IP68防水等级。</w:t>
            </w:r>
          </w:p>
        </w:tc>
      </w:tr>
      <w:tr>
        <w:tblPrEx>
          <w:tblCellMar>
            <w:top w:w="0" w:type="dxa"/>
            <w:left w:w="108" w:type="dxa"/>
            <w:bottom w:w="0" w:type="dxa"/>
            <w:right w:w="108" w:type="dxa"/>
          </w:tblCellMar>
        </w:tblPrEx>
        <w:trPr>
          <w:trHeight w:val="3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sz w:val="20"/>
                <w:lang w:val="en-US" w:eastAsia="zh-CN"/>
              </w:rPr>
            </w:pPr>
            <w:r>
              <w:rPr>
                <w:rFonts w:hint="eastAsia" w:ascii="宋体" w:hAnsi="宋体" w:cs="宋体"/>
                <w:color w:val="000000"/>
                <w:sz w:val="20"/>
                <w:lang w:val="en-US" w:eastAsia="zh-CN"/>
              </w:rPr>
              <w:t>3</w:t>
            </w: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2"/>
                <w:sz w:val="20"/>
                <w:lang w:val="en-US" w:eastAsia="zh-CN" w:bidi="ar-SA"/>
              </w:rPr>
            </w:pPr>
            <w:r>
              <w:rPr>
                <w:rFonts w:hint="eastAsia" w:ascii="宋体" w:hAnsi="宋体" w:cs="宋体"/>
                <w:color w:val="000000"/>
                <w:kern w:val="0"/>
                <w:sz w:val="20"/>
                <w:lang w:bidi="ar"/>
              </w:rPr>
              <w:t>床头分机</w:t>
            </w:r>
          </w:p>
        </w:tc>
        <w:tc>
          <w:tcPr>
            <w:tcW w:w="31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6"/>
              </w:numPr>
              <w:jc w:val="left"/>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采用安卓</w:t>
            </w:r>
            <w:r>
              <w:rPr>
                <w:rFonts w:hint="eastAsia" w:ascii="宋体" w:hAnsi="宋体" w:cs="宋体"/>
                <w:color w:val="000000"/>
                <w:kern w:val="0"/>
                <w:sz w:val="20"/>
                <w:lang w:val="en-US" w:eastAsia="zh-CN" w:bidi="ar"/>
              </w:rPr>
              <w:t>不低于</w:t>
            </w:r>
            <w:r>
              <w:rPr>
                <w:rFonts w:hint="eastAsia" w:ascii="宋体" w:hAnsi="宋体" w:cs="宋体"/>
                <w:color w:val="000000"/>
                <w:kern w:val="0"/>
                <w:sz w:val="20"/>
                <w:lang w:bidi="ar"/>
              </w:rPr>
              <w:t>11.0操作系统，</w:t>
            </w:r>
            <w:r>
              <w:rPr>
                <w:rFonts w:hint="eastAsia" w:ascii="宋体" w:hAnsi="宋体" w:cs="宋体"/>
                <w:color w:val="000000"/>
                <w:kern w:val="0"/>
                <w:sz w:val="20"/>
                <w:lang w:val="en-US" w:eastAsia="zh-CN" w:bidi="ar"/>
              </w:rPr>
              <w:t>屏幕尺寸不低于</w:t>
            </w:r>
            <w:r>
              <w:rPr>
                <w:rFonts w:hint="eastAsia" w:ascii="宋体" w:hAnsi="宋体" w:cs="宋体"/>
                <w:color w:val="000000"/>
                <w:kern w:val="0"/>
                <w:sz w:val="20"/>
                <w:lang w:bidi="ar"/>
              </w:rPr>
              <w:t>7英寸，多点式电容触摸屏，分辨率</w:t>
            </w:r>
            <w:r>
              <w:rPr>
                <w:rFonts w:hint="eastAsia" w:ascii="宋体" w:hAnsi="宋体" w:cs="宋体"/>
                <w:color w:val="000000"/>
                <w:kern w:val="0"/>
                <w:sz w:val="20"/>
                <w:lang w:val="en-US" w:eastAsia="zh-CN" w:bidi="ar"/>
              </w:rPr>
              <w:t>不低于</w:t>
            </w:r>
            <w:r>
              <w:rPr>
                <w:rFonts w:hint="eastAsia" w:ascii="宋体" w:hAnsi="宋体" w:cs="宋体"/>
                <w:color w:val="000000"/>
                <w:kern w:val="0"/>
                <w:sz w:val="20"/>
                <w:lang w:bidi="ar"/>
              </w:rPr>
              <w:t>1024*600；</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2.采用</w:t>
            </w:r>
            <w:r>
              <w:rPr>
                <w:rFonts w:hint="eastAsia" w:ascii="宋体" w:hAnsi="宋体" w:cs="宋体"/>
                <w:color w:val="000000"/>
                <w:kern w:val="0"/>
                <w:sz w:val="20"/>
                <w:lang w:val="en-US" w:eastAsia="zh-CN" w:bidi="ar"/>
              </w:rPr>
              <w:t>不低于</w:t>
            </w:r>
            <w:r>
              <w:rPr>
                <w:rFonts w:hint="eastAsia" w:ascii="宋体" w:hAnsi="宋体" w:cs="宋体"/>
                <w:color w:val="000000"/>
                <w:kern w:val="0"/>
                <w:sz w:val="20"/>
                <w:lang w:bidi="ar"/>
              </w:rPr>
              <w:t>4核1.8GHz的CPU搭配</w:t>
            </w:r>
            <w:r>
              <w:rPr>
                <w:rFonts w:hint="eastAsia" w:ascii="宋体" w:hAnsi="宋体" w:cs="宋体"/>
                <w:color w:val="000000"/>
                <w:kern w:val="0"/>
                <w:sz w:val="20"/>
                <w:lang w:val="en-US" w:eastAsia="zh-CN" w:bidi="ar"/>
              </w:rPr>
              <w:t>不低于</w:t>
            </w:r>
            <w:r>
              <w:rPr>
                <w:rFonts w:hint="eastAsia" w:ascii="宋体" w:hAnsi="宋体" w:cs="宋体"/>
                <w:color w:val="000000"/>
                <w:kern w:val="0"/>
                <w:sz w:val="20"/>
                <w:lang w:bidi="ar"/>
              </w:rPr>
              <w:t>2G+32G的内存存储组合，保证程序稳定运行；</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3.支持IC卡刷卡模块，支持护理、增援、呼叫物理按键；</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4.支持连接卫生间分机，在为卫生间分机供电的同时转发呼叫信息；</w:t>
            </w:r>
          </w:p>
          <w:p>
            <w:pPr>
              <w:widowControl/>
              <w:numPr>
                <w:ilvl w:val="0"/>
                <w:numId w:val="0"/>
              </w:numPr>
              <w:ind w:left="0" w:leftChars="0" w:firstLine="0" w:firstLineChars="0"/>
              <w:jc w:val="left"/>
              <w:textAlignment w:val="center"/>
              <w:rPr>
                <w:rFonts w:hint="eastAsia" w:ascii="宋体" w:hAnsi="宋体" w:eastAsia="宋体" w:cs="宋体"/>
                <w:color w:val="000000"/>
                <w:kern w:val="2"/>
                <w:sz w:val="20"/>
                <w:lang w:val="en-US" w:eastAsia="zh-CN" w:bidi="ar-SA"/>
              </w:rPr>
            </w:pPr>
            <w:r>
              <w:rPr>
                <w:rFonts w:hint="eastAsia" w:ascii="宋体" w:hAnsi="宋体" w:cs="宋体"/>
                <w:color w:val="000000"/>
                <w:kern w:val="0"/>
                <w:sz w:val="20"/>
                <w:lang w:val="en-US" w:eastAsia="zh-CN" w:bidi="ar"/>
              </w:rPr>
              <w:t>5.支持与医护主机、门口分机联动，当病患呼叫后，医护主机、门口分机同步产生声光报警。</w:t>
            </w:r>
            <w:r>
              <w:rPr>
                <w:rFonts w:hint="eastAsia" w:ascii="宋体" w:hAnsi="宋体" w:cs="宋体"/>
                <w:color w:val="000000"/>
                <w:kern w:val="0"/>
                <w:sz w:val="20"/>
                <w:lang w:bidi="ar"/>
              </w:rPr>
              <w:br w:type="textWrapping"/>
            </w:r>
            <w:r>
              <w:rPr>
                <w:rFonts w:hint="eastAsia" w:ascii="宋体" w:hAnsi="宋体" w:cs="宋体"/>
                <w:color w:val="000000"/>
                <w:kern w:val="0"/>
                <w:sz w:val="20"/>
                <w:lang w:val="en-US" w:eastAsia="zh-CN" w:bidi="ar"/>
              </w:rPr>
              <w:t>6</w:t>
            </w:r>
            <w:r>
              <w:rPr>
                <w:rFonts w:hint="eastAsia" w:ascii="宋体" w:hAnsi="宋体" w:cs="宋体"/>
                <w:color w:val="000000"/>
                <w:kern w:val="0"/>
                <w:sz w:val="20"/>
                <w:lang w:bidi="ar"/>
              </w:rPr>
              <w:t>.支持电源箱集中供电、POE供电、电源适配器单独供电三种供电方式；</w:t>
            </w:r>
            <w:r>
              <w:rPr>
                <w:rFonts w:hint="eastAsia" w:ascii="宋体" w:hAnsi="宋体" w:cs="宋体"/>
                <w:color w:val="000000"/>
                <w:kern w:val="0"/>
                <w:sz w:val="20"/>
                <w:lang w:bidi="ar"/>
              </w:rPr>
              <w:br w:type="textWrapping"/>
            </w:r>
            <w:r>
              <w:rPr>
                <w:rFonts w:hint="eastAsia" w:ascii="宋体" w:hAnsi="宋体" w:cs="宋体"/>
                <w:color w:val="000000"/>
                <w:kern w:val="0"/>
                <w:sz w:val="20"/>
                <w:lang w:val="en-US" w:eastAsia="zh-CN" w:bidi="ar"/>
              </w:rPr>
              <w:t>7</w:t>
            </w:r>
            <w:r>
              <w:rPr>
                <w:rFonts w:hint="eastAsia" w:ascii="宋体" w:hAnsi="宋体" w:cs="宋体"/>
                <w:color w:val="000000"/>
                <w:kern w:val="0"/>
                <w:sz w:val="20"/>
                <w:lang w:bidi="ar"/>
              </w:rPr>
              <w:t>.采用</w:t>
            </w:r>
            <w:r>
              <w:rPr>
                <w:rFonts w:hint="eastAsia" w:ascii="宋体" w:hAnsi="宋体" w:cs="宋体"/>
                <w:color w:val="000000"/>
                <w:kern w:val="0"/>
                <w:sz w:val="20"/>
                <w:lang w:val="en-US" w:eastAsia="zh-CN" w:bidi="ar"/>
              </w:rPr>
              <w:t>不低于</w:t>
            </w:r>
            <w:r>
              <w:rPr>
                <w:rFonts w:hint="eastAsia" w:ascii="宋体" w:hAnsi="宋体" w:cs="宋体"/>
                <w:color w:val="000000"/>
                <w:kern w:val="0"/>
                <w:sz w:val="20"/>
                <w:lang w:bidi="ar"/>
              </w:rPr>
              <w:t>800万像素前置摄像头，保证患者与医护间高清可视通话；</w:t>
            </w:r>
            <w:r>
              <w:rPr>
                <w:rFonts w:hint="eastAsia" w:ascii="宋体" w:hAnsi="宋体" w:cs="宋体"/>
                <w:color w:val="000000"/>
                <w:kern w:val="0"/>
                <w:sz w:val="20"/>
                <w:lang w:bidi="ar"/>
              </w:rPr>
              <w:br w:type="textWrapping"/>
            </w:r>
            <w:r>
              <w:rPr>
                <w:rFonts w:hint="eastAsia" w:ascii="宋体" w:hAnsi="宋体" w:cs="宋体"/>
                <w:color w:val="000000"/>
                <w:kern w:val="0"/>
                <w:sz w:val="20"/>
                <w:lang w:val="en-US" w:eastAsia="zh-CN" w:bidi="ar"/>
              </w:rPr>
              <w:t>8</w:t>
            </w:r>
            <w:r>
              <w:rPr>
                <w:rFonts w:hint="eastAsia" w:ascii="宋体" w:hAnsi="宋体" w:cs="宋体"/>
                <w:color w:val="000000"/>
                <w:kern w:val="0"/>
                <w:sz w:val="20"/>
                <w:lang w:bidi="ar"/>
              </w:rPr>
              <w:t>.支持wifi，2.4G与5G双模，组网方式灵活，支持蓝牙4.2；</w:t>
            </w:r>
            <w:r>
              <w:rPr>
                <w:rFonts w:hint="eastAsia" w:ascii="宋体" w:hAnsi="宋体" w:cs="宋体"/>
                <w:color w:val="000000"/>
                <w:kern w:val="0"/>
                <w:sz w:val="20"/>
                <w:lang w:bidi="ar"/>
              </w:rPr>
              <w:br w:type="textWrapping"/>
            </w:r>
            <w:r>
              <w:rPr>
                <w:rFonts w:hint="eastAsia" w:ascii="宋体" w:hAnsi="宋体" w:cs="宋体"/>
                <w:color w:val="000000"/>
                <w:kern w:val="0"/>
                <w:sz w:val="20"/>
                <w:lang w:val="en-US" w:eastAsia="zh-CN" w:bidi="ar"/>
              </w:rPr>
              <w:t>9</w:t>
            </w:r>
            <w:r>
              <w:rPr>
                <w:rFonts w:hint="eastAsia" w:ascii="宋体" w:hAnsi="宋体" w:cs="宋体"/>
                <w:color w:val="000000"/>
                <w:kern w:val="0"/>
                <w:sz w:val="20"/>
                <w:lang w:bidi="ar"/>
              </w:rPr>
              <w:t>.带有光感模块，红外距离感应模块；</w:t>
            </w:r>
            <w:r>
              <w:rPr>
                <w:rFonts w:hint="eastAsia" w:ascii="宋体" w:hAnsi="宋体" w:cs="宋体"/>
                <w:color w:val="000000"/>
                <w:kern w:val="0"/>
                <w:sz w:val="20"/>
                <w:lang w:bidi="ar"/>
              </w:rPr>
              <w:br w:type="textWrapping"/>
            </w:r>
            <w:r>
              <w:rPr>
                <w:rFonts w:hint="eastAsia" w:ascii="宋体" w:hAnsi="宋体" w:cs="宋体"/>
                <w:color w:val="000000"/>
                <w:kern w:val="0"/>
                <w:sz w:val="20"/>
                <w:lang w:val="en-US" w:eastAsia="zh-CN" w:bidi="ar"/>
              </w:rPr>
              <w:t>10</w:t>
            </w:r>
            <w:r>
              <w:rPr>
                <w:rFonts w:hint="eastAsia" w:ascii="宋体" w:hAnsi="宋体" w:cs="宋体"/>
                <w:color w:val="000000"/>
                <w:kern w:val="0"/>
                <w:sz w:val="20"/>
                <w:lang w:bidi="ar"/>
              </w:rPr>
              <w:t>.软件功能：</w:t>
            </w:r>
            <w:r>
              <w:rPr>
                <w:rFonts w:hint="eastAsia" w:ascii="宋体" w:hAnsi="宋体" w:cs="宋体"/>
                <w:color w:val="000000"/>
                <w:kern w:val="0"/>
                <w:sz w:val="20"/>
                <w:lang w:val="en-US" w:eastAsia="zh-CN" w:bidi="ar"/>
              </w:rPr>
              <w:t>包含</w:t>
            </w:r>
            <w:r>
              <w:rPr>
                <w:rFonts w:hint="eastAsia" w:ascii="宋体" w:hAnsi="宋体" w:cs="宋体"/>
                <w:color w:val="000000"/>
                <w:kern w:val="0"/>
                <w:sz w:val="20"/>
                <w:lang w:bidi="ar"/>
              </w:rPr>
              <w:t>护理通讯、电子床头卡、生活服务、入院须知、科室简介、服务信息、医护信息、图文音视频宣教、调查问卷、检查报告、检验结果、消息提醒、费用查询、充值结算（须对接医院支付平台）、体征数据、护理任务、定时闹钟、医疗计算器等。</w:t>
            </w:r>
          </w:p>
        </w:tc>
      </w:tr>
      <w:tr>
        <w:tblPrEx>
          <w:tblCellMar>
            <w:top w:w="0" w:type="dxa"/>
            <w:left w:w="108" w:type="dxa"/>
            <w:bottom w:w="0" w:type="dxa"/>
            <w:right w:w="108" w:type="dxa"/>
          </w:tblCellMar>
        </w:tblPrEx>
        <w:trPr>
          <w:trHeight w:val="3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4</w:t>
            </w: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门口分机</w:t>
            </w:r>
          </w:p>
        </w:tc>
        <w:tc>
          <w:tcPr>
            <w:tcW w:w="31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7"/>
              </w:numPr>
              <w:jc w:val="left"/>
              <w:textAlignment w:val="center"/>
              <w:rPr>
                <w:rFonts w:ascii="宋体" w:hAnsi="宋体" w:cs="宋体"/>
                <w:color w:val="000000"/>
                <w:sz w:val="20"/>
              </w:rPr>
            </w:pPr>
            <w:r>
              <w:rPr>
                <w:rFonts w:hint="eastAsia" w:ascii="宋体" w:hAnsi="宋体" w:cs="宋体"/>
                <w:color w:val="000000"/>
                <w:kern w:val="0"/>
                <w:sz w:val="20"/>
                <w:lang w:bidi="ar"/>
              </w:rPr>
              <w:t>采用安卓操作系统</w:t>
            </w:r>
            <w:r>
              <w:rPr>
                <w:rFonts w:hint="eastAsia" w:ascii="宋体" w:hAnsi="宋体" w:cs="宋体"/>
                <w:color w:val="000000"/>
                <w:kern w:val="0"/>
                <w:sz w:val="20"/>
                <w:lang w:eastAsia="zh-CN" w:bidi="ar"/>
              </w:rPr>
              <w:t>，</w:t>
            </w:r>
            <w:r>
              <w:rPr>
                <w:rFonts w:hint="eastAsia" w:ascii="宋体" w:hAnsi="宋体" w:cs="宋体"/>
                <w:color w:val="000000"/>
                <w:kern w:val="0"/>
                <w:sz w:val="20"/>
                <w:lang w:val="en-US" w:eastAsia="zh-CN" w:bidi="ar"/>
              </w:rPr>
              <w:t>版本不低于</w:t>
            </w:r>
            <w:r>
              <w:rPr>
                <w:rFonts w:hint="eastAsia" w:ascii="宋体" w:hAnsi="宋体" w:cs="宋体"/>
                <w:color w:val="000000"/>
                <w:kern w:val="0"/>
                <w:sz w:val="20"/>
                <w:lang w:bidi="ar"/>
              </w:rPr>
              <w:t>11.0</w:t>
            </w:r>
            <w:r>
              <w:rPr>
                <w:rFonts w:hint="eastAsia" w:ascii="宋体" w:hAnsi="宋体" w:cs="宋体"/>
                <w:color w:val="000000"/>
                <w:kern w:val="0"/>
                <w:sz w:val="20"/>
                <w:lang w:eastAsia="zh-CN" w:bidi="ar"/>
              </w:rPr>
              <w:t>，</w:t>
            </w:r>
            <w:r>
              <w:rPr>
                <w:rFonts w:hint="eastAsia" w:ascii="宋体" w:hAnsi="宋体" w:cs="宋体"/>
                <w:color w:val="000000"/>
                <w:kern w:val="0"/>
                <w:sz w:val="20"/>
                <w:lang w:val="en-US" w:eastAsia="zh-CN" w:bidi="ar"/>
              </w:rPr>
              <w:t>尺寸不低于</w:t>
            </w:r>
            <w:r>
              <w:rPr>
                <w:rFonts w:hint="eastAsia" w:ascii="宋体" w:hAnsi="宋体" w:cs="宋体"/>
                <w:color w:val="000000"/>
                <w:kern w:val="0"/>
                <w:sz w:val="20"/>
                <w:lang w:bidi="ar"/>
              </w:rPr>
              <w:t>15.6英寸</w:t>
            </w:r>
            <w:r>
              <w:rPr>
                <w:rFonts w:hint="eastAsia" w:ascii="宋体" w:hAnsi="宋体" w:cs="宋体"/>
                <w:color w:val="000000"/>
                <w:kern w:val="0"/>
                <w:sz w:val="20"/>
                <w:lang w:eastAsia="zh-CN" w:bidi="ar"/>
              </w:rPr>
              <w:t>，</w:t>
            </w:r>
            <w:r>
              <w:rPr>
                <w:rFonts w:hint="eastAsia" w:ascii="宋体" w:hAnsi="宋体" w:cs="宋体"/>
                <w:color w:val="000000"/>
                <w:kern w:val="0"/>
                <w:sz w:val="20"/>
                <w:lang w:val="en-US" w:eastAsia="zh-CN" w:bidi="ar"/>
              </w:rPr>
              <w:t>支持触摸</w:t>
            </w:r>
            <w:r>
              <w:rPr>
                <w:rFonts w:hint="eastAsia" w:ascii="宋体" w:hAnsi="宋体" w:cs="宋体"/>
                <w:color w:val="000000"/>
                <w:kern w:val="0"/>
                <w:sz w:val="20"/>
                <w:lang w:bidi="ar"/>
              </w:rPr>
              <w:t>，分辨率</w:t>
            </w:r>
            <w:r>
              <w:rPr>
                <w:rFonts w:hint="eastAsia" w:ascii="宋体" w:hAnsi="宋体" w:cs="宋体"/>
                <w:color w:val="000000"/>
                <w:kern w:val="0"/>
                <w:sz w:val="20"/>
                <w:lang w:val="en-US" w:eastAsia="zh-CN" w:bidi="ar"/>
              </w:rPr>
              <w:t>不低于</w:t>
            </w:r>
            <w:r>
              <w:rPr>
                <w:rFonts w:hint="eastAsia" w:ascii="宋体" w:hAnsi="宋体" w:cs="宋体"/>
                <w:color w:val="000000"/>
                <w:kern w:val="0"/>
                <w:sz w:val="20"/>
                <w:lang w:bidi="ar"/>
              </w:rPr>
              <w:t>1920*1080；</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2.采用</w:t>
            </w:r>
            <w:r>
              <w:rPr>
                <w:rFonts w:hint="eastAsia" w:ascii="宋体" w:hAnsi="宋体" w:cs="宋体"/>
                <w:color w:val="000000"/>
                <w:kern w:val="0"/>
                <w:sz w:val="20"/>
                <w:lang w:val="en-US" w:eastAsia="zh-CN" w:bidi="ar"/>
              </w:rPr>
              <w:t>不低于</w:t>
            </w:r>
            <w:r>
              <w:rPr>
                <w:rFonts w:hint="eastAsia" w:ascii="宋体" w:hAnsi="宋体" w:cs="宋体"/>
                <w:color w:val="000000"/>
                <w:kern w:val="0"/>
                <w:sz w:val="20"/>
                <w:lang w:bidi="ar"/>
              </w:rPr>
              <w:t>4核1.8GHz的CPU搭配</w:t>
            </w:r>
            <w:r>
              <w:rPr>
                <w:rFonts w:hint="eastAsia" w:ascii="宋体" w:hAnsi="宋体" w:cs="宋体"/>
                <w:color w:val="000000"/>
                <w:kern w:val="0"/>
                <w:sz w:val="20"/>
                <w:lang w:val="en-US" w:eastAsia="zh-CN" w:bidi="ar"/>
              </w:rPr>
              <w:t>不低于</w:t>
            </w:r>
            <w:r>
              <w:rPr>
                <w:rFonts w:hint="eastAsia" w:ascii="宋体" w:hAnsi="宋体" w:cs="宋体"/>
                <w:color w:val="000000"/>
                <w:kern w:val="0"/>
                <w:sz w:val="20"/>
                <w:lang w:bidi="ar"/>
              </w:rPr>
              <w:t>2G+32G的内存存储组合，保证程序稳定运行；</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3.内置刷卡模块，护士刷卡后进入护士进入模式，方便护士日常定位；</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4.集成两侧</w:t>
            </w:r>
            <w:r>
              <w:rPr>
                <w:rFonts w:hint="eastAsia" w:ascii="宋体" w:hAnsi="宋体" w:cs="宋体"/>
                <w:color w:val="000000"/>
                <w:kern w:val="0"/>
                <w:sz w:val="20"/>
                <w:lang w:val="en-US" w:eastAsia="zh-CN" w:bidi="ar"/>
              </w:rPr>
              <w:t>不少于</w:t>
            </w:r>
            <w:r>
              <w:rPr>
                <w:rFonts w:hint="eastAsia" w:ascii="宋体" w:hAnsi="宋体" w:cs="宋体"/>
                <w:color w:val="000000"/>
                <w:kern w:val="0"/>
                <w:sz w:val="20"/>
                <w:lang w:bidi="ar"/>
              </w:rPr>
              <w:t>7色门灯，可设置对应的呼叫类型，醒目提醒房间内患者呼叫；</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5.内置NFC模块，护士刷卡后进入护士进入模式，方便护士日常定位；</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6.支持wifi与有线两种网络形式，组网方式灵活，支持蓝牙；</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7.支持连接卫生间分机，在为卫生间分机供电的同时转发呼叫信息；</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8.支持电源箱集中供电、POE供电、电源适配器单独供电三种供电方式。</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9.采用</w:t>
            </w:r>
            <w:r>
              <w:rPr>
                <w:rFonts w:hint="eastAsia" w:ascii="宋体" w:hAnsi="宋体" w:cs="宋体"/>
                <w:color w:val="000000"/>
                <w:kern w:val="0"/>
                <w:sz w:val="20"/>
                <w:lang w:val="en-US" w:eastAsia="zh-CN" w:bidi="ar"/>
              </w:rPr>
              <w:t>不低于</w:t>
            </w:r>
            <w:r>
              <w:rPr>
                <w:rFonts w:hint="eastAsia" w:ascii="宋体" w:hAnsi="宋体" w:cs="宋体"/>
                <w:color w:val="000000"/>
                <w:kern w:val="0"/>
                <w:sz w:val="20"/>
                <w:lang w:bidi="ar"/>
              </w:rPr>
              <w:t>800万像素前置摄像头，方便医护与患者间高清可视通话；</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10.软件功能：</w:t>
            </w:r>
            <w:r>
              <w:rPr>
                <w:rFonts w:hint="eastAsia" w:ascii="宋体" w:hAnsi="宋体" w:cs="宋体"/>
                <w:color w:val="000000"/>
                <w:kern w:val="0"/>
                <w:sz w:val="20"/>
                <w:lang w:val="en-US" w:eastAsia="zh-CN" w:bidi="ar"/>
              </w:rPr>
              <w:t>包含</w:t>
            </w:r>
            <w:r>
              <w:rPr>
                <w:rFonts w:hint="eastAsia" w:ascii="宋体" w:hAnsi="宋体" w:cs="宋体"/>
                <w:color w:val="000000"/>
                <w:kern w:val="0"/>
                <w:sz w:val="20"/>
                <w:lang w:bidi="ar"/>
              </w:rPr>
              <w:t>护理通讯、房间信息展示、患者信息展示、科室简介、宣教文章列表、科室医护列表、全院明星医护、单医护简介、发起呼叫、护士查房、显示模式切换等。</w:t>
            </w:r>
          </w:p>
        </w:tc>
      </w:tr>
      <w:tr>
        <w:tblPrEx>
          <w:tblCellMar>
            <w:top w:w="0" w:type="dxa"/>
            <w:left w:w="108" w:type="dxa"/>
            <w:bottom w:w="0" w:type="dxa"/>
            <w:right w:w="108" w:type="dxa"/>
          </w:tblCellMar>
        </w:tblPrEx>
        <w:trPr>
          <w:trHeight w:val="3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lang w:val="en-US" w:eastAsia="zh-CN"/>
              </w:rPr>
            </w:pPr>
            <w:r>
              <w:rPr>
                <w:rFonts w:hint="eastAsia" w:ascii="宋体" w:hAnsi="宋体" w:cs="宋体"/>
                <w:color w:val="000000"/>
                <w:sz w:val="20"/>
                <w:lang w:val="en-US" w:eastAsia="zh-CN"/>
              </w:rPr>
              <w:t>5</w:t>
            </w: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走廊显示屏</w:t>
            </w:r>
          </w:p>
        </w:tc>
        <w:tc>
          <w:tcPr>
            <w:tcW w:w="31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1.双面</w:t>
            </w:r>
            <w:r>
              <w:rPr>
                <w:rFonts w:hint="eastAsia" w:ascii="宋体" w:hAnsi="宋体" w:cs="宋体"/>
                <w:color w:val="000000"/>
                <w:kern w:val="0"/>
                <w:sz w:val="20"/>
                <w:lang w:val="en-US" w:eastAsia="zh-CN" w:bidi="ar"/>
              </w:rPr>
              <w:t>不低于</w:t>
            </w:r>
            <w:r>
              <w:rPr>
                <w:rFonts w:hint="eastAsia" w:ascii="宋体" w:hAnsi="宋体" w:cs="宋体"/>
                <w:color w:val="000000"/>
                <w:kern w:val="0"/>
                <w:sz w:val="20"/>
                <w:lang w:bidi="ar"/>
              </w:rPr>
              <w:t>28.6英寸液晶屏，操作系统安卓</w:t>
            </w:r>
            <w:r>
              <w:rPr>
                <w:rFonts w:hint="eastAsia" w:ascii="宋体" w:hAnsi="宋体" w:cs="宋体"/>
                <w:color w:val="000000"/>
                <w:kern w:val="0"/>
                <w:sz w:val="20"/>
                <w:lang w:val="en-US" w:eastAsia="zh-CN" w:bidi="ar"/>
              </w:rPr>
              <w:t>不低于</w:t>
            </w:r>
            <w:r>
              <w:rPr>
                <w:rFonts w:hint="eastAsia" w:ascii="宋体" w:hAnsi="宋体" w:cs="宋体"/>
                <w:color w:val="000000"/>
                <w:kern w:val="0"/>
                <w:sz w:val="20"/>
                <w:lang w:bidi="ar"/>
              </w:rPr>
              <w:t>11.0，分辨率：</w:t>
            </w:r>
            <w:r>
              <w:rPr>
                <w:rFonts w:hint="eastAsia" w:ascii="宋体" w:hAnsi="宋体" w:cs="宋体"/>
                <w:color w:val="000000"/>
                <w:kern w:val="0"/>
                <w:sz w:val="20"/>
                <w:lang w:val="en-US" w:eastAsia="zh-CN" w:bidi="ar"/>
              </w:rPr>
              <w:t>不低于</w:t>
            </w:r>
            <w:r>
              <w:rPr>
                <w:rFonts w:hint="eastAsia" w:ascii="宋体" w:hAnsi="宋体" w:cs="宋体"/>
                <w:color w:val="000000"/>
                <w:kern w:val="0"/>
                <w:sz w:val="20"/>
                <w:lang w:bidi="ar"/>
              </w:rPr>
              <w:t>1920*560，采用</w:t>
            </w:r>
            <w:r>
              <w:rPr>
                <w:rFonts w:hint="eastAsia" w:ascii="宋体" w:hAnsi="宋体" w:cs="宋体"/>
                <w:color w:val="000000"/>
                <w:kern w:val="0"/>
                <w:sz w:val="20"/>
                <w:lang w:val="en-US" w:eastAsia="zh-CN" w:bidi="ar"/>
              </w:rPr>
              <w:t>不低于</w:t>
            </w:r>
            <w:r>
              <w:rPr>
                <w:rFonts w:hint="eastAsia" w:ascii="宋体" w:hAnsi="宋体" w:cs="宋体"/>
                <w:color w:val="000000"/>
                <w:kern w:val="0"/>
                <w:sz w:val="20"/>
                <w:lang w:bidi="ar"/>
              </w:rPr>
              <w:t>6核CPU，主频</w:t>
            </w:r>
            <w:r>
              <w:rPr>
                <w:rFonts w:hint="eastAsia" w:ascii="宋体" w:hAnsi="宋体" w:cs="宋体"/>
                <w:color w:val="000000"/>
                <w:kern w:val="0"/>
                <w:sz w:val="20"/>
                <w:lang w:val="en-US" w:eastAsia="zh-CN" w:bidi="ar"/>
              </w:rPr>
              <w:t>不低于</w:t>
            </w:r>
            <w:r>
              <w:rPr>
                <w:rFonts w:hint="eastAsia" w:ascii="宋体" w:hAnsi="宋体" w:cs="宋体"/>
                <w:color w:val="000000"/>
                <w:kern w:val="0"/>
                <w:sz w:val="20"/>
                <w:lang w:bidi="ar"/>
              </w:rPr>
              <w:t>1.8GHz，</w:t>
            </w:r>
            <w:r>
              <w:rPr>
                <w:rFonts w:hint="eastAsia" w:ascii="宋体" w:hAnsi="宋体" w:cs="宋体"/>
                <w:color w:val="000000"/>
                <w:kern w:val="0"/>
                <w:sz w:val="20"/>
                <w:lang w:val="en-US" w:eastAsia="zh-CN" w:bidi="ar"/>
              </w:rPr>
              <w:t>不低于</w:t>
            </w:r>
            <w:r>
              <w:rPr>
                <w:rFonts w:hint="eastAsia" w:ascii="宋体" w:hAnsi="宋体" w:cs="宋体"/>
                <w:color w:val="000000"/>
                <w:kern w:val="0"/>
                <w:sz w:val="20"/>
                <w:lang w:bidi="ar"/>
              </w:rPr>
              <w:t>4G+32G的内存存储组合，保证程序稳定运行，支持蓝牙WiFi；</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2.支持展示当前正在进行以及未处理的呼叫信息；</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3.支持对当前正在进行以及未处理的呼叫信息进行播报，支持区分紧急呼叫和普通呼叫；</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4.当系统无呼叫时，展示本护理单元的信息发布类文章（文章内容可自定义），支持定时播放与轮播。</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5.当系统无呼叫时信息发布时，展示本护理单元的信息发布视频；</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6.支持外接喇叭，呼叫播报及视频声音可在外扩喇叭处发声。</w:t>
            </w:r>
          </w:p>
        </w:tc>
      </w:tr>
    </w:tbl>
    <w:p>
      <w:pPr>
        <w:numPr>
          <w:ilvl w:val="0"/>
          <w:numId w:val="0"/>
        </w:numPr>
        <w:spacing w:line="360" w:lineRule="auto"/>
        <w:ind w:leftChars="0"/>
        <w:rPr>
          <w:rFonts w:hint="eastAsia" w:ascii="宋体" w:hAnsi="宋体" w:eastAsia="宋体" w:cs="宋体"/>
          <w:b/>
          <w:kern w:val="0"/>
          <w:sz w:val="24"/>
          <w:szCs w:val="24"/>
          <w:lang w:val="en-US" w:eastAsia="zh-CN"/>
        </w:rPr>
      </w:pPr>
    </w:p>
    <w:p>
      <w:pPr>
        <w:numPr>
          <w:ilvl w:val="0"/>
          <w:numId w:val="5"/>
        </w:numPr>
        <w:spacing w:line="360" w:lineRule="auto"/>
        <w:ind w:left="425" w:leftChars="0" w:hanging="425" w:firstLineChars="0"/>
        <w:rPr>
          <w:rFonts w:hint="eastAsia" w:ascii="宋体" w:hAnsi="宋体" w:eastAsia="宋体" w:cs="宋体"/>
          <w:b/>
          <w:kern w:val="0"/>
          <w:sz w:val="24"/>
          <w:szCs w:val="24"/>
          <w:lang w:val="en-US" w:eastAsia="zh-CN"/>
        </w:rPr>
      </w:pPr>
      <w:r>
        <w:rPr>
          <w:rFonts w:hint="eastAsia" w:ascii="宋体" w:hAnsi="宋体" w:cs="宋体"/>
          <w:b/>
          <w:kern w:val="0"/>
          <w:sz w:val="24"/>
          <w:szCs w:val="24"/>
          <w:lang w:val="en-US" w:eastAsia="zh-CN"/>
        </w:rPr>
        <w:t>技术集成</w:t>
      </w:r>
      <w:r>
        <w:rPr>
          <w:rFonts w:hint="eastAsia" w:ascii="宋体" w:hAnsi="宋体" w:eastAsia="宋体" w:cs="宋体"/>
          <w:b/>
          <w:kern w:val="0"/>
          <w:sz w:val="24"/>
          <w:szCs w:val="24"/>
          <w:lang w:val="en-US" w:eastAsia="zh-CN"/>
        </w:rPr>
        <w:t>要求</w:t>
      </w:r>
    </w:p>
    <w:p>
      <w:pPr>
        <w:spacing w:line="360" w:lineRule="auto"/>
        <w:ind w:firstLine="480" w:firstLineChars="200"/>
        <w:rPr>
          <w:rFonts w:hint="default" w:ascii="宋体" w:hAnsi="宋体" w:cs="宋体"/>
          <w:bCs/>
          <w:sz w:val="24"/>
          <w:szCs w:val="24"/>
          <w:lang w:val="en-US" w:eastAsia="zh-CN"/>
        </w:rPr>
      </w:pPr>
      <w:r>
        <w:rPr>
          <w:rFonts w:hint="eastAsia" w:ascii="宋体" w:hAnsi="宋体" w:eastAsia="宋体" w:cs="宋体"/>
          <w:bCs/>
          <w:sz w:val="24"/>
          <w:szCs w:val="24"/>
        </w:rPr>
        <w:t>本项目需考虑利旧设备的整体规划、合理使用，包括安装调试等工作，</w:t>
      </w:r>
      <w:r>
        <w:rPr>
          <w:rFonts w:hint="eastAsia" w:ascii="宋体" w:hAnsi="宋体" w:cs="宋体"/>
          <w:bCs/>
          <w:sz w:val="24"/>
          <w:szCs w:val="24"/>
          <w:lang w:val="en-US" w:eastAsia="zh-CN"/>
        </w:rPr>
        <w:t>投标人须出具承诺函，承诺本次投标的信息化产品，与医院已建成的智慧病房信息化系统高度兼容，业务数据可实现无缝衔接，若因投标人自身产品原因无法达到兼容要求，所产生的成本由投标人自行承担，招标人不再追加额外预算。</w:t>
      </w:r>
    </w:p>
    <w:p>
      <w:pPr>
        <w:spacing w:line="360" w:lineRule="auto"/>
        <w:ind w:firstLine="480" w:firstLineChars="200"/>
        <w:rPr>
          <w:rFonts w:hint="eastAsia" w:ascii="宋体" w:hAnsi="宋体" w:eastAsia="宋体" w:cs="宋体"/>
          <w:bCs/>
          <w:sz w:val="24"/>
          <w:szCs w:val="24"/>
        </w:rPr>
      </w:pPr>
      <w:r>
        <w:rPr>
          <w:rFonts w:hint="eastAsia" w:ascii="宋体" w:hAnsi="宋体" w:cs="宋体"/>
          <w:bCs/>
          <w:sz w:val="24"/>
          <w:szCs w:val="24"/>
          <w:lang w:val="en-US" w:eastAsia="zh-CN"/>
        </w:rPr>
        <w:t>投标人需提供必要的系统软件，软件需与院内HIS系统完成对接，获取病患的过敏记录、饮食情况、责任护士、病情、护理级别、检查检验报告、手术记录等信息。并实现与原智慧病房信息化软件数据联通，并</w:t>
      </w:r>
      <w:r>
        <w:rPr>
          <w:rFonts w:hint="eastAsia" w:ascii="宋体" w:hAnsi="宋体" w:eastAsia="宋体" w:cs="宋体"/>
          <w:bCs/>
          <w:sz w:val="24"/>
          <w:szCs w:val="24"/>
        </w:rPr>
        <w:t>免费开放接口</w:t>
      </w:r>
      <w:r>
        <w:rPr>
          <w:rFonts w:hint="eastAsia" w:ascii="宋体" w:hAnsi="宋体" w:cs="宋体"/>
          <w:bCs/>
          <w:sz w:val="24"/>
          <w:szCs w:val="24"/>
          <w:lang w:eastAsia="zh-CN"/>
        </w:rPr>
        <w:t>，</w:t>
      </w:r>
      <w:r>
        <w:rPr>
          <w:rFonts w:hint="eastAsia" w:ascii="宋体" w:hAnsi="宋体" w:cs="宋体"/>
          <w:bCs/>
          <w:sz w:val="24"/>
          <w:szCs w:val="24"/>
          <w:lang w:val="en-US" w:eastAsia="zh-CN"/>
        </w:rPr>
        <w:t>配合完成与第三方对接工作</w:t>
      </w:r>
      <w:r>
        <w:rPr>
          <w:rFonts w:hint="eastAsia" w:ascii="宋体" w:hAnsi="宋体" w:eastAsia="宋体" w:cs="宋体"/>
          <w:bCs/>
          <w:sz w:val="24"/>
          <w:szCs w:val="24"/>
        </w:rPr>
        <w:t>。</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投标人</w:t>
      </w:r>
      <w:r>
        <w:rPr>
          <w:rFonts w:hint="eastAsia" w:ascii="宋体" w:hAnsi="宋体" w:eastAsia="宋体" w:cs="宋体"/>
          <w:bCs/>
          <w:sz w:val="24"/>
          <w:szCs w:val="24"/>
        </w:rPr>
        <w:t>需要配合深化设计等，负责将本次</w:t>
      </w:r>
      <w:r>
        <w:rPr>
          <w:rFonts w:hint="eastAsia" w:ascii="宋体" w:hAnsi="宋体" w:cs="宋体"/>
          <w:bCs/>
          <w:sz w:val="24"/>
          <w:szCs w:val="24"/>
          <w:lang w:val="en-US" w:eastAsia="zh-CN"/>
        </w:rPr>
        <w:t>项目的</w:t>
      </w:r>
      <w:r>
        <w:rPr>
          <w:rFonts w:hint="eastAsia" w:ascii="宋体" w:hAnsi="宋体" w:eastAsia="宋体" w:cs="宋体"/>
          <w:bCs/>
          <w:sz w:val="24"/>
          <w:szCs w:val="24"/>
        </w:rPr>
        <w:t>网络同医院原有网络系统做联通，负责网络规划、</w:t>
      </w:r>
      <w:r>
        <w:rPr>
          <w:rFonts w:hint="eastAsia" w:ascii="宋体" w:hAnsi="宋体" w:cs="宋体"/>
          <w:bCs/>
          <w:sz w:val="24"/>
          <w:szCs w:val="24"/>
          <w:lang w:val="en-US" w:eastAsia="zh-CN"/>
        </w:rPr>
        <w:t>综合布线、</w:t>
      </w:r>
      <w:r>
        <w:rPr>
          <w:rFonts w:hint="eastAsia" w:ascii="宋体" w:hAnsi="宋体" w:eastAsia="宋体" w:cs="宋体"/>
          <w:bCs/>
          <w:sz w:val="24"/>
          <w:szCs w:val="24"/>
        </w:rPr>
        <w:t>策略配置、</w:t>
      </w:r>
      <w:r>
        <w:rPr>
          <w:rFonts w:hint="eastAsia" w:ascii="宋体" w:hAnsi="宋体" w:cs="宋体"/>
          <w:bCs/>
          <w:sz w:val="24"/>
          <w:szCs w:val="24"/>
          <w:lang w:val="en-US" w:eastAsia="zh-CN"/>
        </w:rPr>
        <w:t>软硬件</w:t>
      </w:r>
      <w:r>
        <w:rPr>
          <w:rFonts w:hint="eastAsia" w:ascii="宋体" w:hAnsi="宋体" w:eastAsia="宋体" w:cs="宋体"/>
          <w:bCs/>
          <w:sz w:val="24"/>
          <w:szCs w:val="24"/>
        </w:rPr>
        <w:t>实施及调试等工作，确保医院整体网络系统的兼容性、稳定性、可靠性，实现统一管理、统一运营、集中管理和智能化监控。</w:t>
      </w:r>
    </w:p>
    <w:p>
      <w:pPr>
        <w:spacing w:line="360" w:lineRule="auto"/>
        <w:ind w:firstLine="480" w:firstLineChars="200"/>
        <w:rPr>
          <w:rFonts w:hint="eastAsia" w:ascii="宋体" w:hAnsi="宋体" w:eastAsia="宋体" w:cs="宋体"/>
          <w:bCs/>
          <w:sz w:val="24"/>
          <w:szCs w:val="24"/>
        </w:rPr>
      </w:pPr>
    </w:p>
    <w:p>
      <w:pPr>
        <w:pStyle w:val="2"/>
        <w:keepNext w:val="0"/>
        <w:widowControl/>
        <w:numPr>
          <w:ilvl w:val="0"/>
          <w:numId w:val="2"/>
        </w:numPr>
        <w:adjustRightInd w:val="0"/>
        <w:snapToGrid w:val="0"/>
        <w:spacing w:before="156" w:beforeLines="50" w:after="0" w:line="360" w:lineRule="auto"/>
        <w:ind w:left="0" w:leftChars="0" w:firstLine="0" w:firstLineChars="0"/>
        <w:jc w:val="left"/>
        <w:rPr>
          <w:rFonts w:hint="eastAsia" w:ascii="宋体" w:hAnsi="宋体" w:eastAsia="宋体" w:cs="宋体"/>
          <w:b/>
          <w:bCs/>
          <w:kern w:val="44"/>
          <w:sz w:val="24"/>
          <w:szCs w:val="24"/>
          <w:lang w:val="en-US" w:eastAsia="zh-CN" w:bidi="ar-SA"/>
        </w:rPr>
      </w:pPr>
      <w:r>
        <w:rPr>
          <w:rFonts w:hint="eastAsia" w:ascii="宋体" w:hAnsi="宋体" w:cs="宋体"/>
          <w:b/>
          <w:bCs/>
          <w:kern w:val="44"/>
          <w:sz w:val="24"/>
          <w:szCs w:val="24"/>
          <w:lang w:val="en-US" w:eastAsia="zh-CN" w:bidi="ar-SA"/>
        </w:rPr>
        <w:t>系统集成要求</w:t>
      </w:r>
    </w:p>
    <w:p>
      <w:pPr>
        <w:numPr>
          <w:ilvl w:val="0"/>
          <w:numId w:val="8"/>
        </w:numPr>
        <w:spacing w:line="360" w:lineRule="auto"/>
        <w:ind w:left="-60" w:leftChars="0" w:firstLine="480" w:firstLineChars="0"/>
        <w:rPr>
          <w:rFonts w:hint="eastAsia" w:ascii="宋体" w:hAnsi="宋体" w:eastAsia="宋体" w:cs="宋体"/>
          <w:bCs/>
          <w:sz w:val="24"/>
          <w:szCs w:val="24"/>
        </w:rPr>
      </w:pPr>
      <w:r>
        <w:rPr>
          <w:rFonts w:hint="eastAsia" w:ascii="宋体" w:hAnsi="宋体" w:eastAsia="宋体" w:cs="宋体"/>
          <w:bCs/>
          <w:sz w:val="24"/>
          <w:szCs w:val="24"/>
        </w:rPr>
        <w:t>投标方和项目主要成员需具备类似项目实施经验，充分了解医院信息化、智慧化系统的特点、组网结构、安全保障需求以及其它要求，充分考虑本次采购的软硬件设备与上海公共卫生临床中心现有系统的对接，并提供必要的技术支撑和配合，协助完成整个院区信息化的实施部署工作。</w:t>
      </w:r>
    </w:p>
    <w:p>
      <w:pPr>
        <w:numPr>
          <w:ilvl w:val="0"/>
          <w:numId w:val="8"/>
        </w:numPr>
        <w:spacing w:line="360" w:lineRule="auto"/>
        <w:ind w:left="-60" w:leftChars="0" w:firstLine="480" w:firstLineChars="0"/>
        <w:rPr>
          <w:rFonts w:hint="eastAsia" w:ascii="宋体" w:hAnsi="宋体" w:eastAsia="宋体" w:cs="宋体"/>
          <w:bCs/>
          <w:sz w:val="24"/>
          <w:szCs w:val="24"/>
        </w:rPr>
      </w:pPr>
      <w:r>
        <w:rPr>
          <w:rFonts w:hint="eastAsia" w:ascii="宋体" w:hAnsi="宋体" w:eastAsia="宋体" w:cs="宋体"/>
          <w:bCs/>
          <w:sz w:val="24"/>
          <w:szCs w:val="24"/>
        </w:rPr>
        <w:t>投标人需依据本次项目建设需求、未来业务扩展以及采购项目要求编制实施方案，实施方案需在投标文件中以独立章节详细描述。方案设计应当采用统一规划、高可用性、高扩展性、高安全性、高可维护性和合适性价比等原则。需充分考虑到实施时存在的风险，并描述实施过程的时间进度以及影响程度范围。</w:t>
      </w:r>
    </w:p>
    <w:p>
      <w:pPr>
        <w:numPr>
          <w:ilvl w:val="0"/>
          <w:numId w:val="8"/>
        </w:numPr>
        <w:spacing w:line="360" w:lineRule="auto"/>
        <w:ind w:left="-60" w:leftChars="0" w:firstLine="480" w:firstLineChars="0"/>
        <w:rPr>
          <w:rFonts w:hint="eastAsia" w:ascii="宋体" w:hAnsi="宋体" w:eastAsia="宋体" w:cs="宋体"/>
          <w:bCs/>
          <w:sz w:val="24"/>
          <w:szCs w:val="24"/>
        </w:rPr>
      </w:pPr>
      <w:r>
        <w:rPr>
          <w:rFonts w:hint="eastAsia" w:ascii="宋体" w:hAnsi="宋体" w:eastAsia="宋体" w:cs="宋体"/>
          <w:bCs/>
          <w:sz w:val="24"/>
          <w:szCs w:val="24"/>
        </w:rPr>
        <w:t>投标人需制定合理可行的项目管理计划，保证所有建设内容按计划保质保量地开展。中标人需做好组织协调工作，对</w:t>
      </w:r>
      <w:r>
        <w:rPr>
          <w:rFonts w:hint="eastAsia" w:ascii="宋体" w:hAnsi="宋体" w:cs="宋体"/>
          <w:bCs/>
          <w:sz w:val="24"/>
          <w:szCs w:val="24"/>
          <w:lang w:val="en-US" w:eastAsia="zh-CN"/>
        </w:rPr>
        <w:t>金山院区智慧病房信息化建设项目</w:t>
      </w:r>
      <w:r>
        <w:rPr>
          <w:rFonts w:hint="eastAsia" w:ascii="宋体" w:hAnsi="宋体" w:eastAsia="宋体" w:cs="宋体"/>
          <w:bCs/>
          <w:sz w:val="24"/>
          <w:szCs w:val="24"/>
        </w:rPr>
        <w:t>的总体质量和进度负总责。对项目软硬件设备的到货、安装调试、验收负责，以及各系统及平台的联调、总体测试、试运行、验收负责。</w:t>
      </w:r>
    </w:p>
    <w:p>
      <w:pPr>
        <w:numPr>
          <w:ilvl w:val="0"/>
          <w:numId w:val="8"/>
        </w:numPr>
        <w:spacing w:line="360" w:lineRule="auto"/>
        <w:ind w:left="-60" w:leftChars="0" w:firstLine="480" w:firstLineChars="0"/>
        <w:rPr>
          <w:rFonts w:hint="eastAsia" w:ascii="宋体" w:hAnsi="宋体" w:eastAsia="宋体" w:cs="宋体"/>
          <w:bCs/>
          <w:sz w:val="24"/>
          <w:szCs w:val="24"/>
        </w:rPr>
      </w:pPr>
      <w:r>
        <w:rPr>
          <w:rFonts w:hint="eastAsia" w:ascii="宋体" w:hAnsi="宋体" w:eastAsia="宋体" w:cs="宋体"/>
          <w:bCs/>
          <w:sz w:val="24"/>
          <w:szCs w:val="24"/>
        </w:rPr>
        <w:t>投标人需依据系统现状、本次项目建设需要、未来业务扩展以及设备采购需求，</w:t>
      </w:r>
      <w:r>
        <w:rPr>
          <w:rFonts w:hint="eastAsia" w:ascii="宋体" w:hAnsi="宋体" w:cs="宋体"/>
          <w:bCs/>
          <w:sz w:val="24"/>
          <w:szCs w:val="24"/>
          <w:lang w:val="en-US" w:eastAsia="zh-CN"/>
        </w:rPr>
        <w:t>单独章节详细阐述信息化系统的建设方案，</w:t>
      </w:r>
      <w:r>
        <w:rPr>
          <w:rFonts w:hint="eastAsia" w:ascii="宋体" w:hAnsi="宋体" w:eastAsia="宋体" w:cs="宋体"/>
          <w:bCs/>
          <w:sz w:val="24"/>
          <w:szCs w:val="24"/>
        </w:rPr>
        <w:t>方案应当以先进性、安全性、高可用性和可扩展性为原则。方案的设计及实施过程需充分考虑到</w:t>
      </w:r>
      <w:r>
        <w:rPr>
          <w:rFonts w:hint="eastAsia" w:ascii="宋体" w:hAnsi="宋体" w:eastAsia="宋体" w:cs="宋体"/>
          <w:bCs/>
          <w:sz w:val="24"/>
          <w:szCs w:val="24"/>
          <w:lang w:val="en-US" w:eastAsia="zh-CN"/>
        </w:rPr>
        <w:t>项目特点及</w:t>
      </w:r>
      <w:r>
        <w:rPr>
          <w:rFonts w:hint="eastAsia" w:ascii="宋体" w:hAnsi="宋体" w:eastAsia="宋体" w:cs="宋体"/>
          <w:bCs/>
          <w:sz w:val="24"/>
          <w:szCs w:val="24"/>
        </w:rPr>
        <w:t>实时性要求，全面保障</w:t>
      </w:r>
      <w:r>
        <w:rPr>
          <w:rFonts w:hint="eastAsia" w:ascii="宋体" w:hAnsi="宋体" w:eastAsia="宋体" w:cs="宋体"/>
          <w:bCs/>
          <w:sz w:val="24"/>
          <w:szCs w:val="24"/>
          <w:lang w:val="en-US" w:eastAsia="zh-CN"/>
        </w:rPr>
        <w:t>病区</w:t>
      </w:r>
      <w:r>
        <w:rPr>
          <w:rFonts w:hint="eastAsia" w:ascii="宋体" w:hAnsi="宋体" w:eastAsia="宋体" w:cs="宋体"/>
          <w:bCs/>
          <w:sz w:val="24"/>
          <w:szCs w:val="24"/>
        </w:rPr>
        <w:t>业务的连续性。投标人需要充分考虑上述要求并给出科学、合理的系统集成方案，同时，投标人具备大型系统的集成能力、交付和运维的能力，投标时需提供相应的证明材料。</w:t>
      </w:r>
    </w:p>
    <w:p>
      <w:pPr>
        <w:numPr>
          <w:ilvl w:val="0"/>
          <w:numId w:val="8"/>
        </w:numPr>
        <w:spacing w:line="360" w:lineRule="auto"/>
        <w:ind w:left="-60" w:leftChars="0" w:firstLine="480" w:firstLineChars="0"/>
        <w:rPr>
          <w:rFonts w:hint="eastAsia" w:ascii="宋体" w:hAnsi="宋体" w:eastAsia="宋体" w:cs="宋体"/>
          <w:bCs/>
          <w:sz w:val="24"/>
          <w:szCs w:val="24"/>
        </w:rPr>
      </w:pPr>
      <w:r>
        <w:rPr>
          <w:rFonts w:hint="eastAsia" w:ascii="宋体" w:hAnsi="宋体" w:eastAsia="宋体" w:cs="宋体"/>
          <w:bCs/>
          <w:sz w:val="24"/>
          <w:szCs w:val="24"/>
        </w:rPr>
        <w:t>投标人应依据当前上海公共卫生临床中心信息化系统和</w:t>
      </w:r>
      <w:r>
        <w:rPr>
          <w:rFonts w:hint="eastAsia" w:ascii="宋体" w:hAnsi="宋体" w:eastAsia="宋体" w:cs="宋体"/>
          <w:bCs/>
          <w:sz w:val="24"/>
          <w:szCs w:val="24"/>
          <w:lang w:val="en-US" w:eastAsia="zh-CN"/>
        </w:rPr>
        <w:t>已建智慧病房</w:t>
      </w:r>
      <w:r>
        <w:rPr>
          <w:rFonts w:hint="eastAsia" w:ascii="宋体" w:hAnsi="宋体" w:eastAsia="宋体" w:cs="宋体"/>
          <w:bCs/>
          <w:sz w:val="24"/>
          <w:szCs w:val="24"/>
        </w:rPr>
        <w:t>信息化</w:t>
      </w:r>
      <w:r>
        <w:rPr>
          <w:rFonts w:hint="eastAsia" w:ascii="宋体" w:hAnsi="宋体" w:eastAsia="宋体" w:cs="宋体"/>
          <w:bCs/>
          <w:sz w:val="24"/>
          <w:szCs w:val="24"/>
          <w:lang w:val="en-US" w:eastAsia="zh-CN"/>
        </w:rPr>
        <w:t>系统</w:t>
      </w:r>
      <w:r>
        <w:rPr>
          <w:rFonts w:hint="eastAsia" w:ascii="宋体" w:hAnsi="宋体" w:eastAsia="宋体" w:cs="宋体"/>
          <w:bCs/>
          <w:sz w:val="24"/>
          <w:szCs w:val="24"/>
        </w:rPr>
        <w:t>的实际情况、本期项目的具体建设要求、未来业务扩展以需求，统一规划信息系统集成建设方案。方案应当兼顾成熟性、先进性、安全性、高可用性和可扩展性。方案的设计及实施应考虑到对医院既有业务的影响降到最低，以确保日常诊疗工作的正常开展。同时，应充分考虑到工程实施时存在的风险，并对实施过程的时间进度有所预估。</w:t>
      </w:r>
    </w:p>
    <w:p>
      <w:pPr>
        <w:numPr>
          <w:ilvl w:val="0"/>
          <w:numId w:val="8"/>
        </w:numPr>
        <w:spacing w:line="360" w:lineRule="auto"/>
        <w:ind w:left="-60" w:leftChars="0" w:firstLine="480" w:firstLineChars="0"/>
        <w:rPr>
          <w:rFonts w:hint="eastAsia" w:ascii="宋体" w:hAnsi="宋体" w:eastAsia="宋体" w:cs="宋体"/>
          <w:bCs/>
          <w:sz w:val="24"/>
          <w:szCs w:val="24"/>
        </w:rPr>
      </w:pPr>
      <w:r>
        <w:rPr>
          <w:rFonts w:hint="eastAsia" w:ascii="宋体" w:hAnsi="宋体" w:eastAsia="宋体" w:cs="宋体"/>
          <w:bCs/>
          <w:sz w:val="24"/>
          <w:szCs w:val="24"/>
        </w:rPr>
        <w:t>对本次集成方案设计所采用的医院行业标准规范进行充分列明阐述、方案设计并严格依照标准进行落地实施。对上海公共卫生临床中心已建设的系统软硬件资源进行充分利用，在保证本项目信息系统服务能力持续有效且满足安全防护需求的前提下，开展利旧工作，保护前期投资，降低建设成本。需结合实际情况，从产品技术现状、产品性能和支撑能力方面进行整体规划，设计出可靠、可行的技术方案，并在实施时进行已有产品和新购产品的二次集成工作，避免资源浪费。</w:t>
      </w:r>
    </w:p>
    <w:p>
      <w:pPr>
        <w:numPr>
          <w:ilvl w:val="0"/>
          <w:numId w:val="8"/>
        </w:numPr>
        <w:spacing w:line="360" w:lineRule="auto"/>
        <w:ind w:left="-60" w:leftChars="0" w:firstLine="48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rPr>
        <w:t>投标单位应结合上海公共卫生临床中心信息化建设后的运营需求，设计整体运行维护服务的体系，设计针对本次项目运行维护服务的响应服务级别，提供运行维护过程中应急服务响应体系并提供现场驻场服务团队。</w:t>
      </w:r>
    </w:p>
    <w:p>
      <w:pPr>
        <w:pStyle w:val="2"/>
        <w:keepNext w:val="0"/>
        <w:widowControl/>
        <w:numPr>
          <w:ilvl w:val="0"/>
          <w:numId w:val="2"/>
        </w:numPr>
        <w:adjustRightInd w:val="0"/>
        <w:snapToGrid w:val="0"/>
        <w:spacing w:before="156" w:beforeLines="50" w:after="0" w:line="360" w:lineRule="auto"/>
        <w:ind w:left="0" w:leftChars="0" w:firstLine="0" w:firstLineChars="0"/>
        <w:jc w:val="left"/>
        <w:rPr>
          <w:rFonts w:hint="eastAsia" w:ascii="宋体" w:hAnsi="宋体" w:eastAsia="宋体" w:cs="宋体"/>
          <w:sz w:val="24"/>
          <w:szCs w:val="24"/>
        </w:rPr>
      </w:pPr>
      <w:r>
        <w:rPr>
          <w:rFonts w:hint="eastAsia" w:ascii="宋体" w:hAnsi="宋体" w:eastAsia="宋体" w:cs="宋体"/>
          <w:sz w:val="24"/>
          <w:szCs w:val="24"/>
        </w:rPr>
        <w:t>实施、验收与售后服务要求</w:t>
      </w:r>
    </w:p>
    <w:p>
      <w:pPr>
        <w:numPr>
          <w:ilvl w:val="0"/>
          <w:numId w:val="9"/>
        </w:numPr>
        <w:spacing w:line="360" w:lineRule="auto"/>
        <w:ind w:left="425" w:leftChars="0" w:hanging="425" w:firstLineChars="0"/>
        <w:rPr>
          <w:rFonts w:hint="eastAsia" w:ascii="宋体" w:hAnsi="宋体" w:eastAsia="宋体" w:cs="宋体"/>
          <w:b/>
          <w:kern w:val="0"/>
          <w:sz w:val="24"/>
          <w:szCs w:val="24"/>
        </w:rPr>
      </w:pPr>
      <w:bookmarkStart w:id="50" w:name="_Toc167209064"/>
      <w:bookmarkStart w:id="51" w:name="_Toc5380"/>
      <w:bookmarkStart w:id="52" w:name="_Toc31765"/>
      <w:bookmarkStart w:id="53" w:name="_Toc29069"/>
      <w:bookmarkStart w:id="54" w:name="_Toc6762"/>
      <w:bookmarkStart w:id="55" w:name="_Toc5128"/>
      <w:bookmarkStart w:id="56" w:name="_Toc27377"/>
      <w:bookmarkStart w:id="57" w:name="_Toc22243"/>
      <w:bookmarkStart w:id="58" w:name="_Toc15460"/>
      <w:bookmarkStart w:id="59" w:name="_Toc11103"/>
      <w:bookmarkStart w:id="60" w:name="_Toc6492"/>
      <w:r>
        <w:rPr>
          <w:rFonts w:hint="eastAsia" w:ascii="宋体" w:hAnsi="宋体" w:eastAsia="宋体" w:cs="宋体"/>
          <w:b/>
          <w:kern w:val="0"/>
          <w:sz w:val="24"/>
          <w:szCs w:val="24"/>
        </w:rPr>
        <w:t>项目实施要求</w:t>
      </w:r>
      <w:bookmarkEnd w:id="50"/>
      <w:bookmarkEnd w:id="51"/>
      <w:bookmarkEnd w:id="52"/>
      <w:bookmarkEnd w:id="53"/>
      <w:bookmarkEnd w:id="54"/>
      <w:bookmarkEnd w:id="55"/>
      <w:bookmarkEnd w:id="56"/>
      <w:bookmarkEnd w:id="57"/>
      <w:bookmarkEnd w:id="58"/>
      <w:bookmarkEnd w:id="59"/>
      <w:bookmarkEnd w:id="60"/>
    </w:p>
    <w:p>
      <w:pPr>
        <w:numPr>
          <w:ilvl w:val="0"/>
          <w:numId w:val="10"/>
        </w:numPr>
        <w:spacing w:line="360" w:lineRule="auto"/>
        <w:ind w:left="-60" w:leftChars="0" w:firstLine="480" w:firstLineChars="0"/>
        <w:rPr>
          <w:rFonts w:hint="eastAsia" w:ascii="宋体" w:hAnsi="宋体" w:eastAsia="宋体" w:cs="宋体"/>
          <w:bCs/>
          <w:sz w:val="24"/>
          <w:szCs w:val="24"/>
        </w:rPr>
      </w:pPr>
      <w:r>
        <w:rPr>
          <w:rFonts w:hint="eastAsia" w:ascii="宋体" w:hAnsi="宋体" w:eastAsia="宋体" w:cs="宋体"/>
          <w:bCs/>
          <w:sz w:val="24"/>
          <w:szCs w:val="24"/>
        </w:rPr>
        <w:t>投标人需针对本项目编制详细的实施方案，详细描述项目的实施过程，需采取的确保整个项目实施正常有序的措施和办法，实施方案包括进度计划、人员配置、安装调试测试、验收方案、质量保障方案等内容。</w:t>
      </w:r>
    </w:p>
    <w:p>
      <w:pPr>
        <w:numPr>
          <w:ilvl w:val="0"/>
          <w:numId w:val="10"/>
        </w:numPr>
        <w:spacing w:line="360" w:lineRule="auto"/>
        <w:ind w:left="-60" w:leftChars="0" w:firstLine="480" w:firstLineChars="0"/>
        <w:rPr>
          <w:rFonts w:hint="eastAsia" w:ascii="宋体" w:hAnsi="宋体" w:eastAsia="宋体" w:cs="宋体"/>
          <w:bCs/>
          <w:sz w:val="24"/>
          <w:szCs w:val="24"/>
        </w:rPr>
      </w:pPr>
      <w:r>
        <w:rPr>
          <w:rFonts w:hint="eastAsia" w:ascii="宋体" w:hAnsi="宋体" w:eastAsia="宋体" w:cs="宋体"/>
          <w:bCs/>
          <w:sz w:val="24"/>
          <w:szCs w:val="24"/>
        </w:rPr>
        <w:t>本项目为交钥匙工程，投标人须提供本项目所需软件、文档，并按照招标人要求进行安装实施、调试、优化、试运行，最终完成验收交付。</w:t>
      </w:r>
    </w:p>
    <w:p>
      <w:pPr>
        <w:numPr>
          <w:ilvl w:val="0"/>
          <w:numId w:val="10"/>
        </w:numPr>
        <w:spacing w:line="360" w:lineRule="auto"/>
        <w:ind w:left="-60" w:leftChars="0" w:firstLine="480" w:firstLineChars="0"/>
        <w:rPr>
          <w:rFonts w:hint="eastAsia" w:ascii="宋体" w:hAnsi="宋体" w:eastAsia="宋体" w:cs="宋体"/>
          <w:bCs/>
          <w:sz w:val="24"/>
          <w:szCs w:val="24"/>
        </w:rPr>
      </w:pPr>
      <w:r>
        <w:rPr>
          <w:rFonts w:hint="eastAsia" w:ascii="宋体" w:hAnsi="宋体" w:eastAsia="宋体" w:cs="宋体"/>
          <w:bCs/>
          <w:sz w:val="24"/>
          <w:szCs w:val="24"/>
        </w:rPr>
        <w:t>投标人具有固定的售后服务团队。</w:t>
      </w:r>
    </w:p>
    <w:p>
      <w:pPr>
        <w:numPr>
          <w:ilvl w:val="0"/>
          <w:numId w:val="10"/>
        </w:numPr>
        <w:spacing w:line="360" w:lineRule="auto"/>
        <w:ind w:left="-60" w:leftChars="0" w:firstLine="480" w:firstLineChars="0"/>
        <w:rPr>
          <w:rFonts w:hint="eastAsia" w:ascii="宋体" w:hAnsi="宋体" w:eastAsia="宋体" w:cs="宋体"/>
          <w:bCs/>
          <w:sz w:val="24"/>
          <w:szCs w:val="24"/>
        </w:rPr>
      </w:pPr>
      <w:r>
        <w:rPr>
          <w:rFonts w:hint="eastAsia" w:ascii="宋体" w:hAnsi="宋体" w:eastAsia="宋体" w:cs="宋体"/>
          <w:bCs/>
          <w:sz w:val="24"/>
          <w:szCs w:val="24"/>
        </w:rPr>
        <w:t>投标人针对本项目的人员配置，包括实施团队至少有计算机或信息化专业的全职人员，需要提供有关人员学历、从业经验、相关资质证书等证明文件及在投标人单位的最近三个月缴纳社保证明。配备项目经理一名（具备项目经理证书）。</w:t>
      </w:r>
    </w:p>
    <w:p>
      <w:pPr>
        <w:numPr>
          <w:ilvl w:val="0"/>
          <w:numId w:val="10"/>
        </w:numPr>
        <w:spacing w:line="360" w:lineRule="auto"/>
        <w:ind w:left="-60" w:leftChars="0" w:firstLine="480" w:firstLineChars="0"/>
        <w:rPr>
          <w:rFonts w:hint="eastAsia" w:ascii="宋体" w:hAnsi="宋体" w:eastAsia="宋体" w:cs="宋体"/>
          <w:bCs/>
          <w:sz w:val="24"/>
          <w:szCs w:val="24"/>
        </w:rPr>
      </w:pPr>
      <w:r>
        <w:rPr>
          <w:rFonts w:hint="eastAsia" w:ascii="宋体" w:hAnsi="宋体" w:eastAsia="宋体" w:cs="宋体"/>
          <w:bCs/>
          <w:sz w:val="24"/>
          <w:szCs w:val="24"/>
        </w:rPr>
        <w:t>投标人应本着认真负责态度，组织技术队伍，认真做好项目的实施工作。在签订合同前，提出具体实施、服务、维护以及今后技术支持的措施计划和承诺。</w:t>
      </w:r>
    </w:p>
    <w:p>
      <w:pPr>
        <w:numPr>
          <w:ilvl w:val="0"/>
          <w:numId w:val="10"/>
        </w:numPr>
        <w:spacing w:line="360" w:lineRule="auto"/>
        <w:ind w:left="-60" w:leftChars="0" w:firstLine="480" w:firstLineChars="0"/>
        <w:rPr>
          <w:rFonts w:hint="eastAsia" w:ascii="宋体" w:hAnsi="宋体" w:eastAsia="宋体" w:cs="宋体"/>
          <w:bCs/>
          <w:sz w:val="24"/>
          <w:szCs w:val="24"/>
        </w:rPr>
      </w:pPr>
      <w:r>
        <w:rPr>
          <w:rFonts w:hint="eastAsia" w:ascii="宋体" w:hAnsi="宋体" w:eastAsia="宋体" w:cs="宋体"/>
          <w:bCs/>
          <w:sz w:val="24"/>
          <w:szCs w:val="24"/>
        </w:rPr>
        <w:t>投标人必须提供项目实施计划，经招标人同意后，严格执行。如果遇到问题，由项目组提出项目变更说明，经医院和投标人确定后，修改计划。</w:t>
      </w:r>
    </w:p>
    <w:p>
      <w:pPr>
        <w:numPr>
          <w:ilvl w:val="0"/>
          <w:numId w:val="10"/>
        </w:numPr>
        <w:spacing w:line="360" w:lineRule="auto"/>
        <w:ind w:left="-60" w:leftChars="0" w:firstLine="480" w:firstLineChars="0"/>
        <w:rPr>
          <w:rFonts w:hint="eastAsia" w:ascii="宋体" w:hAnsi="宋体" w:eastAsia="宋体" w:cs="宋体"/>
          <w:bCs/>
          <w:sz w:val="24"/>
          <w:szCs w:val="24"/>
        </w:rPr>
      </w:pPr>
      <w:r>
        <w:rPr>
          <w:rFonts w:hint="eastAsia" w:ascii="宋体" w:hAnsi="宋体" w:eastAsia="宋体" w:cs="宋体"/>
          <w:bCs/>
          <w:sz w:val="24"/>
          <w:szCs w:val="24"/>
        </w:rPr>
        <w:t>投标人应负责在项目验收时将系统的全部有关技术文件、资料、及安装、测试、验收报告等文档汇集成册交付招标人。</w:t>
      </w:r>
    </w:p>
    <w:p>
      <w:pPr>
        <w:numPr>
          <w:ilvl w:val="0"/>
          <w:numId w:val="10"/>
        </w:numPr>
        <w:spacing w:line="360" w:lineRule="auto"/>
        <w:ind w:left="-60" w:leftChars="0" w:firstLine="480" w:firstLineChars="0"/>
        <w:rPr>
          <w:rFonts w:hint="eastAsia" w:ascii="宋体" w:hAnsi="宋体" w:eastAsia="宋体" w:cs="宋体"/>
          <w:bCs/>
          <w:sz w:val="24"/>
          <w:szCs w:val="24"/>
        </w:rPr>
      </w:pPr>
      <w:r>
        <w:rPr>
          <w:rFonts w:hint="eastAsia" w:ascii="宋体" w:hAnsi="宋体" w:eastAsia="宋体" w:cs="宋体"/>
          <w:bCs/>
          <w:sz w:val="24"/>
          <w:szCs w:val="24"/>
        </w:rPr>
        <w:t>结合医院实际情况，拟定详细的系统实施计划，包括同医院现有信息系统的对接、个性化定制、测试、试运行、培训及上线计划。承诺保证在合同规定时间内上线及上线后系统平稳运行。</w:t>
      </w:r>
    </w:p>
    <w:p>
      <w:pPr>
        <w:numPr>
          <w:ilvl w:val="0"/>
          <w:numId w:val="10"/>
        </w:numPr>
        <w:spacing w:line="360" w:lineRule="auto"/>
        <w:ind w:left="-60" w:leftChars="0" w:firstLine="480" w:firstLineChars="0"/>
        <w:rPr>
          <w:rFonts w:hint="eastAsia" w:ascii="宋体" w:hAnsi="宋体" w:eastAsia="宋体" w:cs="宋体"/>
          <w:bCs/>
          <w:sz w:val="24"/>
          <w:szCs w:val="24"/>
        </w:rPr>
      </w:pPr>
      <w:r>
        <w:rPr>
          <w:rFonts w:hint="eastAsia" w:ascii="宋体" w:hAnsi="宋体" w:eastAsia="宋体" w:cs="宋体"/>
          <w:bCs/>
          <w:sz w:val="24"/>
          <w:szCs w:val="24"/>
        </w:rPr>
        <w:t>本系统所涉及软件除非约定，均不限读者数、不限终端数。</w:t>
      </w:r>
    </w:p>
    <w:p>
      <w:pPr>
        <w:numPr>
          <w:ilvl w:val="0"/>
          <w:numId w:val="9"/>
        </w:numPr>
        <w:spacing w:line="360" w:lineRule="auto"/>
        <w:ind w:left="425" w:leftChars="0" w:hanging="425" w:firstLineChars="0"/>
        <w:rPr>
          <w:rFonts w:hint="eastAsia" w:ascii="宋体" w:hAnsi="宋体" w:eastAsia="宋体" w:cs="宋体"/>
          <w:b/>
          <w:kern w:val="0"/>
          <w:sz w:val="24"/>
          <w:szCs w:val="24"/>
        </w:rPr>
      </w:pPr>
      <w:r>
        <w:rPr>
          <w:rFonts w:hint="eastAsia" w:ascii="宋体" w:hAnsi="宋体" w:eastAsia="宋体" w:cs="宋体"/>
          <w:b/>
          <w:kern w:val="0"/>
          <w:sz w:val="24"/>
          <w:szCs w:val="24"/>
        </w:rPr>
        <w:t>安装调试服务</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根据招标人要求在现场或安装地点（或指导用户）进行系统的安装调试工作。最终安装和调试时间与招标人协商确定，如在规定时间内由于投标人原因不能完成安装和调试，投标人承担由此给招标人造成的损失。安装标准符合我国国家有关技术规范要求和技术标准。中标人负责在现场按国家有关规范进行安装、调试及试运行。装配和调试中招标人需派人员进行必要的配合，装配调试中发生的一切材料、人工、运输和保险等费用全部由中标人承担。</w:t>
      </w:r>
    </w:p>
    <w:p>
      <w:pPr>
        <w:numPr>
          <w:ilvl w:val="0"/>
          <w:numId w:val="9"/>
        </w:numPr>
        <w:spacing w:line="360" w:lineRule="auto"/>
        <w:ind w:left="425" w:leftChars="0" w:hanging="425" w:firstLineChars="0"/>
        <w:rPr>
          <w:rFonts w:hint="eastAsia" w:ascii="宋体" w:hAnsi="宋体" w:eastAsia="宋体" w:cs="宋体"/>
          <w:b/>
          <w:kern w:val="0"/>
          <w:sz w:val="24"/>
          <w:szCs w:val="24"/>
        </w:rPr>
      </w:pPr>
      <w:r>
        <w:rPr>
          <w:rFonts w:hint="eastAsia" w:ascii="宋体" w:hAnsi="宋体" w:eastAsia="宋体" w:cs="宋体"/>
          <w:b/>
          <w:kern w:val="0"/>
          <w:sz w:val="24"/>
          <w:szCs w:val="24"/>
        </w:rPr>
        <w:t>人员培训</w:t>
      </w:r>
    </w:p>
    <w:p>
      <w:pPr>
        <w:spacing w:line="360" w:lineRule="auto"/>
        <w:ind w:firstLine="420"/>
        <w:rPr>
          <w:rFonts w:hint="eastAsia" w:ascii="宋体" w:hAnsi="宋体" w:eastAsia="宋体" w:cs="宋体"/>
          <w:bCs/>
          <w:sz w:val="24"/>
          <w:szCs w:val="24"/>
        </w:rPr>
      </w:pPr>
      <w:r>
        <w:rPr>
          <w:rFonts w:hint="eastAsia" w:ascii="宋体" w:hAnsi="宋体" w:eastAsia="宋体" w:cs="宋体"/>
          <w:bCs/>
          <w:sz w:val="24"/>
          <w:szCs w:val="24"/>
        </w:rPr>
        <w:t>投标人应负责使用人员的培训及考核，并在项目实施后继续按照医院要求继续定期培训。</w:t>
      </w:r>
    </w:p>
    <w:p>
      <w:pPr>
        <w:spacing w:line="360" w:lineRule="auto"/>
        <w:ind w:firstLine="420"/>
        <w:rPr>
          <w:rFonts w:hint="eastAsia" w:ascii="宋体" w:hAnsi="宋体" w:eastAsia="宋体" w:cs="宋体"/>
          <w:bCs/>
          <w:sz w:val="24"/>
          <w:szCs w:val="24"/>
        </w:rPr>
      </w:pPr>
      <w:r>
        <w:rPr>
          <w:rFonts w:hint="eastAsia" w:ascii="宋体" w:hAnsi="宋体" w:eastAsia="宋体" w:cs="宋体"/>
          <w:bCs/>
          <w:sz w:val="24"/>
          <w:szCs w:val="24"/>
        </w:rPr>
        <w:t>培训对象包括信息科系统管理员、日常维护人员；非信息科的管理人员、操作员。系统管理人员培训内容为系统中涉及的相关技术内容；管理人员培训内容为系统流程和相关管理思想；操作员为系统的操作培训。投标人应提供完整的培训方案。</w:t>
      </w:r>
    </w:p>
    <w:p>
      <w:pPr>
        <w:numPr>
          <w:ilvl w:val="0"/>
          <w:numId w:val="9"/>
        </w:numPr>
        <w:spacing w:line="360" w:lineRule="auto"/>
        <w:ind w:left="425" w:leftChars="0" w:hanging="425" w:firstLineChars="0"/>
        <w:rPr>
          <w:rFonts w:hint="eastAsia" w:ascii="宋体" w:hAnsi="宋体" w:eastAsia="宋体" w:cs="宋体"/>
          <w:b/>
          <w:kern w:val="0"/>
          <w:sz w:val="24"/>
          <w:szCs w:val="24"/>
        </w:rPr>
      </w:pPr>
      <w:r>
        <w:rPr>
          <w:rFonts w:hint="eastAsia" w:ascii="宋体" w:hAnsi="宋体" w:eastAsia="宋体" w:cs="宋体"/>
          <w:b/>
          <w:kern w:val="0"/>
          <w:sz w:val="24"/>
          <w:szCs w:val="24"/>
        </w:rPr>
        <w:t>对实施人员的要求</w:t>
      </w:r>
    </w:p>
    <w:p>
      <w:pPr>
        <w:pStyle w:val="4"/>
        <w:numPr>
          <w:ilvl w:val="0"/>
          <w:numId w:val="11"/>
        </w:numPr>
        <w:spacing w:line="360" w:lineRule="auto"/>
        <w:ind w:left="-60" w:leftChars="0" w:firstLine="480" w:firstLineChars="0"/>
        <w:rPr>
          <w:rFonts w:hint="eastAsia" w:ascii="宋体" w:hAnsi="宋体" w:eastAsia="宋体" w:cs="宋体"/>
          <w:bCs/>
          <w:sz w:val="24"/>
          <w:szCs w:val="24"/>
        </w:rPr>
      </w:pPr>
      <w:r>
        <w:rPr>
          <w:rFonts w:hint="eastAsia" w:ascii="宋体" w:hAnsi="宋体" w:eastAsia="宋体" w:cs="宋体"/>
          <w:bCs/>
          <w:sz w:val="24"/>
          <w:szCs w:val="24"/>
        </w:rPr>
        <w:t>系统在通过验收前必须现场留驻足够的实施人员。</w:t>
      </w:r>
    </w:p>
    <w:p>
      <w:pPr>
        <w:pStyle w:val="4"/>
        <w:numPr>
          <w:ilvl w:val="0"/>
          <w:numId w:val="11"/>
        </w:numPr>
        <w:spacing w:line="360" w:lineRule="auto"/>
        <w:ind w:left="-60" w:leftChars="0" w:firstLine="480" w:firstLineChars="0"/>
        <w:rPr>
          <w:rFonts w:hint="eastAsia" w:ascii="宋体" w:hAnsi="宋体" w:eastAsia="宋体" w:cs="宋体"/>
          <w:bCs/>
          <w:sz w:val="24"/>
          <w:szCs w:val="24"/>
        </w:rPr>
      </w:pPr>
      <w:r>
        <w:rPr>
          <w:rFonts w:hint="eastAsia" w:ascii="宋体" w:hAnsi="宋体" w:eastAsia="宋体" w:cs="宋体"/>
          <w:bCs/>
          <w:sz w:val="24"/>
          <w:szCs w:val="24"/>
        </w:rPr>
        <w:t>医院有权根据实施情况要求更换项目经理和实施人员。</w:t>
      </w:r>
    </w:p>
    <w:p>
      <w:pPr>
        <w:pStyle w:val="4"/>
        <w:numPr>
          <w:ilvl w:val="0"/>
          <w:numId w:val="11"/>
        </w:numPr>
        <w:spacing w:line="360" w:lineRule="auto"/>
        <w:ind w:left="-60" w:leftChars="0" w:firstLine="480" w:firstLineChars="0"/>
        <w:rPr>
          <w:rFonts w:hint="eastAsia" w:ascii="宋体" w:hAnsi="宋体" w:eastAsia="宋体" w:cs="宋体"/>
          <w:bCs/>
          <w:sz w:val="24"/>
          <w:szCs w:val="24"/>
        </w:rPr>
      </w:pPr>
      <w:r>
        <w:rPr>
          <w:rFonts w:hint="eastAsia" w:ascii="宋体" w:hAnsi="宋体" w:eastAsia="宋体" w:cs="宋体"/>
          <w:bCs/>
          <w:sz w:val="24"/>
          <w:szCs w:val="24"/>
        </w:rPr>
        <w:t>对投标人项目经理等级和实施人员基本要求：要求投标人针对本项目成立项目小组，在投标文件中提供书面名单，人员一旦得到医院确认，无特殊理由不得随意变动，且项目经理未得到医院同意的情况下不得随意更换。</w:t>
      </w:r>
    </w:p>
    <w:p>
      <w:pPr>
        <w:numPr>
          <w:ilvl w:val="0"/>
          <w:numId w:val="9"/>
        </w:numPr>
        <w:spacing w:line="360" w:lineRule="auto"/>
        <w:ind w:left="425" w:leftChars="0" w:hanging="425" w:firstLineChars="0"/>
        <w:rPr>
          <w:rFonts w:hint="eastAsia" w:ascii="宋体" w:hAnsi="宋体" w:eastAsia="宋体" w:cs="宋体"/>
          <w:b/>
          <w:kern w:val="0"/>
          <w:sz w:val="24"/>
          <w:szCs w:val="24"/>
        </w:rPr>
      </w:pPr>
      <w:r>
        <w:rPr>
          <w:rFonts w:hint="eastAsia" w:ascii="宋体" w:hAnsi="宋体" w:eastAsia="宋体" w:cs="宋体"/>
          <w:b/>
          <w:kern w:val="0"/>
          <w:sz w:val="24"/>
          <w:szCs w:val="24"/>
        </w:rPr>
        <w:t>项目实施进度要求</w:t>
      </w:r>
    </w:p>
    <w:p>
      <w:pPr>
        <w:tabs>
          <w:tab w:val="left" w:pos="845"/>
        </w:tabs>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自合同签订之日起</w:t>
      </w:r>
      <w:r>
        <w:rPr>
          <w:rFonts w:hint="eastAsia" w:ascii="宋体" w:hAnsi="宋体" w:cs="宋体"/>
          <w:kern w:val="0"/>
          <w:sz w:val="24"/>
          <w:szCs w:val="24"/>
          <w:lang w:val="en-US" w:eastAsia="zh-CN"/>
        </w:rPr>
        <w:t>1</w:t>
      </w:r>
      <w:r>
        <w:rPr>
          <w:rFonts w:hint="eastAsia" w:ascii="宋体" w:hAnsi="宋体" w:eastAsia="宋体" w:cs="宋体"/>
          <w:kern w:val="0"/>
          <w:sz w:val="24"/>
          <w:szCs w:val="24"/>
        </w:rPr>
        <w:t>个月内完成项目建设并通过验收。</w:t>
      </w:r>
      <w:r>
        <w:rPr>
          <w:rFonts w:hint="eastAsia" w:ascii="宋体" w:hAnsi="宋体" w:eastAsia="宋体" w:cs="宋体"/>
          <w:bCs/>
          <w:sz w:val="24"/>
          <w:szCs w:val="24"/>
        </w:rPr>
        <w:t>投标人</w:t>
      </w:r>
      <w:r>
        <w:rPr>
          <w:rFonts w:hint="eastAsia" w:ascii="宋体" w:hAnsi="宋体" w:eastAsia="宋体" w:cs="宋体"/>
          <w:kern w:val="0"/>
          <w:sz w:val="24"/>
          <w:szCs w:val="24"/>
        </w:rPr>
        <w:t>需制定详细项目实施进度计划。</w:t>
      </w:r>
    </w:p>
    <w:p>
      <w:pPr>
        <w:numPr>
          <w:ilvl w:val="0"/>
          <w:numId w:val="9"/>
        </w:numPr>
        <w:spacing w:line="360" w:lineRule="auto"/>
        <w:ind w:left="425" w:leftChars="0" w:hanging="425" w:firstLineChars="0"/>
        <w:rPr>
          <w:rFonts w:hint="eastAsia" w:ascii="宋体" w:hAnsi="宋体" w:eastAsia="宋体" w:cs="宋体"/>
          <w:b/>
          <w:kern w:val="0"/>
          <w:sz w:val="24"/>
          <w:szCs w:val="24"/>
        </w:rPr>
      </w:pPr>
      <w:r>
        <w:rPr>
          <w:rFonts w:hint="eastAsia" w:ascii="宋体" w:hAnsi="宋体" w:eastAsia="宋体" w:cs="宋体"/>
          <w:b/>
          <w:kern w:val="0"/>
          <w:sz w:val="24"/>
          <w:szCs w:val="24"/>
        </w:rPr>
        <w:t>验收要求及流程</w:t>
      </w:r>
    </w:p>
    <w:p>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本项目实施完成后，招标人有权邀请相关行业专家与医院相关部门人员一起参与验收，验收小组的工作内容包括制定本项目验收办法，编制项目验收计划，确定验收范围，组织相关专家验收，编写项目验收报告等。对各个项目最终成果或者阶段性成果进行必要的评审和检测。</w:t>
      </w:r>
    </w:p>
    <w:p>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待各系统功能全部上线，系统稳定运行</w:t>
      </w:r>
      <w:r>
        <w:rPr>
          <w:rFonts w:hint="eastAsia" w:ascii="宋体" w:hAnsi="宋体" w:cs="宋体"/>
          <w:sz w:val="24"/>
          <w:szCs w:val="24"/>
          <w:lang w:val="en-US" w:eastAsia="zh-CN"/>
        </w:rPr>
        <w:t>1周后</w:t>
      </w:r>
      <w:r>
        <w:rPr>
          <w:rFonts w:hint="eastAsia" w:ascii="宋体" w:hAnsi="宋体" w:eastAsia="宋体" w:cs="宋体"/>
          <w:sz w:val="24"/>
          <w:szCs w:val="24"/>
        </w:rPr>
        <w:t>，最后由用户方项目负责人员和其他相关人员签字认可，确定项目验收完成，转入维护阶段。招标人有权就系统功能、性能和安全性等相关内容，可以邀请第三方专业测评机构进行功能测评及安全测评。系统须经过第三方渗透技术检测，且不存在中高危风险点，且在招标人每年信息安全等级评审期间，配合完成等保相关的信息安全整改。</w:t>
      </w:r>
    </w:p>
    <w:p>
      <w:pPr>
        <w:numPr>
          <w:ilvl w:val="0"/>
          <w:numId w:val="9"/>
        </w:numPr>
        <w:spacing w:line="360" w:lineRule="auto"/>
        <w:ind w:left="425" w:leftChars="0" w:hanging="425" w:firstLineChars="0"/>
        <w:rPr>
          <w:rFonts w:hint="eastAsia" w:ascii="宋体" w:hAnsi="宋体" w:eastAsia="宋体" w:cs="宋体"/>
          <w:b/>
          <w:kern w:val="0"/>
          <w:sz w:val="24"/>
          <w:szCs w:val="24"/>
        </w:rPr>
      </w:pPr>
      <w:r>
        <w:rPr>
          <w:rFonts w:hint="eastAsia" w:ascii="宋体" w:hAnsi="宋体" w:eastAsia="宋体" w:cs="宋体"/>
          <w:b/>
          <w:kern w:val="0"/>
          <w:sz w:val="24"/>
          <w:szCs w:val="24"/>
        </w:rPr>
        <w:t>技术文档</w:t>
      </w:r>
    </w:p>
    <w:p>
      <w:pPr>
        <w:tabs>
          <w:tab w:val="left" w:pos="84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系统验收后中标人须提供详细的软件相关技术文档（含数据结构、数据流程图、系统字典说明等）、使用说明书、维护手册等文件数据。提供系统应急方案。</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文档包括但不限于以下内容：</w:t>
      </w:r>
    </w:p>
    <w:p>
      <w:pPr>
        <w:pStyle w:val="21"/>
        <w:numPr>
          <w:ilvl w:val="0"/>
          <w:numId w:val="12"/>
        </w:numPr>
        <w:autoSpaceDE/>
        <w:autoSpaceDN/>
        <w:adjustRightInd/>
        <w:spacing w:line="360" w:lineRule="auto"/>
        <w:ind w:left="0" w:firstLine="480" w:firstLineChars="200"/>
        <w:jc w:val="both"/>
        <w:rPr>
          <w:rFonts w:hint="eastAsia" w:ascii="宋体" w:hAnsi="宋体" w:eastAsia="宋体" w:cs="宋体"/>
          <w:sz w:val="24"/>
          <w:szCs w:val="24"/>
        </w:rPr>
      </w:pPr>
      <w:r>
        <w:rPr>
          <w:rFonts w:hint="eastAsia" w:ascii="宋体" w:hAnsi="宋体" w:eastAsia="宋体" w:cs="宋体"/>
          <w:sz w:val="24"/>
          <w:szCs w:val="24"/>
        </w:rPr>
        <w:t>安装、测试报告：包括《安装报告》等。</w:t>
      </w:r>
    </w:p>
    <w:p>
      <w:pPr>
        <w:pStyle w:val="21"/>
        <w:numPr>
          <w:ilvl w:val="0"/>
          <w:numId w:val="12"/>
        </w:numPr>
        <w:autoSpaceDE/>
        <w:autoSpaceDN/>
        <w:adjustRightInd/>
        <w:spacing w:line="360" w:lineRule="auto"/>
        <w:ind w:left="0" w:firstLine="480" w:firstLineChars="200"/>
        <w:jc w:val="both"/>
        <w:rPr>
          <w:rFonts w:hint="eastAsia" w:ascii="宋体" w:hAnsi="宋体" w:eastAsia="宋体" w:cs="宋体"/>
          <w:sz w:val="24"/>
          <w:szCs w:val="24"/>
        </w:rPr>
      </w:pPr>
      <w:r>
        <w:rPr>
          <w:rFonts w:hint="eastAsia" w:ascii="宋体" w:hAnsi="宋体" w:eastAsia="宋体" w:cs="宋体"/>
          <w:sz w:val="24"/>
          <w:szCs w:val="24"/>
        </w:rPr>
        <w:t>使用手册：包括《用户手册》、《培训手册》等。</w:t>
      </w:r>
    </w:p>
    <w:p>
      <w:pPr>
        <w:numPr>
          <w:ilvl w:val="0"/>
          <w:numId w:val="12"/>
        </w:numPr>
        <w:spacing w:before="78" w:beforeLines="25" w:after="78" w:afterLines="25"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系统、设备维护手册。</w:t>
      </w:r>
    </w:p>
    <w:p>
      <w:pPr>
        <w:pStyle w:val="21"/>
        <w:numPr>
          <w:ilvl w:val="0"/>
          <w:numId w:val="12"/>
        </w:numPr>
        <w:autoSpaceDE/>
        <w:autoSpaceDN/>
        <w:adjustRightInd/>
        <w:spacing w:line="360" w:lineRule="auto"/>
        <w:ind w:left="0" w:firstLine="480" w:firstLineChars="200"/>
        <w:jc w:val="both"/>
        <w:rPr>
          <w:rFonts w:hint="eastAsia" w:ascii="宋体" w:hAnsi="宋体" w:eastAsia="宋体" w:cs="宋体"/>
          <w:sz w:val="24"/>
          <w:szCs w:val="24"/>
        </w:rPr>
      </w:pPr>
      <w:r>
        <w:rPr>
          <w:rFonts w:hint="eastAsia" w:ascii="宋体" w:hAnsi="宋体" w:eastAsia="宋体" w:cs="宋体"/>
          <w:sz w:val="24"/>
          <w:szCs w:val="24"/>
        </w:rPr>
        <w:t>验收报告等。</w:t>
      </w:r>
    </w:p>
    <w:p>
      <w:pPr>
        <w:numPr>
          <w:ilvl w:val="0"/>
          <w:numId w:val="9"/>
        </w:numPr>
        <w:spacing w:line="360" w:lineRule="auto"/>
        <w:ind w:left="425" w:leftChars="0" w:hanging="425" w:firstLineChars="0"/>
        <w:rPr>
          <w:rFonts w:hint="eastAsia" w:ascii="宋体" w:hAnsi="宋体" w:eastAsia="宋体" w:cs="宋体"/>
          <w:b/>
          <w:kern w:val="0"/>
          <w:sz w:val="24"/>
          <w:szCs w:val="24"/>
        </w:rPr>
      </w:pPr>
      <w:r>
        <w:rPr>
          <w:rFonts w:hint="eastAsia" w:ascii="宋体" w:hAnsi="宋体" w:eastAsia="宋体" w:cs="宋体"/>
          <w:b/>
          <w:kern w:val="0"/>
          <w:sz w:val="24"/>
          <w:szCs w:val="24"/>
        </w:rPr>
        <w:t>售后服务要求</w:t>
      </w:r>
    </w:p>
    <w:p>
      <w:pPr>
        <w:pStyle w:val="4"/>
        <w:numPr>
          <w:ilvl w:val="0"/>
          <w:numId w:val="13"/>
        </w:numPr>
        <w:spacing w:line="360" w:lineRule="auto"/>
        <w:ind w:left="-60" w:leftChars="0" w:firstLine="480" w:firstLineChars="0"/>
        <w:rPr>
          <w:rFonts w:hint="eastAsia" w:ascii="宋体" w:hAnsi="宋体" w:eastAsia="宋体" w:cs="宋体"/>
          <w:bCs/>
          <w:sz w:val="24"/>
          <w:szCs w:val="24"/>
        </w:rPr>
      </w:pPr>
      <w:r>
        <w:rPr>
          <w:rFonts w:hint="eastAsia" w:ascii="宋体" w:hAnsi="宋体" w:cs="宋体"/>
          <w:bCs/>
          <w:sz w:val="24"/>
          <w:szCs w:val="24"/>
          <w:lang w:val="en-US" w:eastAsia="zh-CN"/>
        </w:rPr>
        <w:t>维保时间要求</w:t>
      </w:r>
    </w:p>
    <w:p>
      <w:pPr>
        <w:pStyle w:val="4"/>
        <w:spacing w:line="360" w:lineRule="auto"/>
        <w:rPr>
          <w:rFonts w:hint="eastAsia" w:ascii="宋体" w:hAnsi="宋体" w:eastAsia="宋体" w:cs="宋体"/>
          <w:sz w:val="24"/>
          <w:szCs w:val="24"/>
        </w:rPr>
      </w:pPr>
      <w:r>
        <w:rPr>
          <w:rFonts w:hint="eastAsia" w:ascii="宋体" w:hAnsi="宋体" w:eastAsia="宋体" w:cs="宋体"/>
          <w:sz w:val="24"/>
          <w:szCs w:val="24"/>
        </w:rPr>
        <w:t>自验收合格之日起，本项目（包括硬件、软件）须提供不少于</w:t>
      </w:r>
      <w:r>
        <w:rPr>
          <w:rFonts w:hint="eastAsia" w:ascii="宋体" w:hAnsi="宋体" w:eastAsia="宋体" w:cs="宋体"/>
          <w:color w:val="FF0000"/>
          <w:sz w:val="24"/>
          <w:szCs w:val="24"/>
        </w:rPr>
        <w:t>三年</w:t>
      </w:r>
      <w:r>
        <w:rPr>
          <w:rFonts w:hint="eastAsia" w:ascii="宋体" w:hAnsi="宋体" w:eastAsia="宋体" w:cs="宋体"/>
          <w:sz w:val="24"/>
          <w:szCs w:val="24"/>
        </w:rPr>
        <w:t>的免费质保服务，包括功能增强性维护及免费技术维护服务，保证所投的软硬件正常运行。</w:t>
      </w:r>
      <w:r>
        <w:rPr>
          <w:rFonts w:hint="eastAsia" w:ascii="宋体" w:hAnsi="宋体" w:eastAsia="宋体" w:cs="宋体"/>
          <w:sz w:val="24"/>
          <w:szCs w:val="24"/>
          <w:lang w:val="zh-TW"/>
        </w:rPr>
        <w:t>交换机设备需要提供</w:t>
      </w:r>
      <w:r>
        <w:rPr>
          <w:rFonts w:hint="eastAsia" w:ascii="宋体" w:hAnsi="宋体" w:cs="宋体"/>
          <w:sz w:val="24"/>
          <w:szCs w:val="24"/>
          <w:lang w:val="en-US" w:eastAsia="zh-CN"/>
        </w:rPr>
        <w:t>三</w:t>
      </w:r>
      <w:r>
        <w:rPr>
          <w:rFonts w:hint="eastAsia" w:ascii="宋体" w:hAnsi="宋体" w:eastAsia="宋体" w:cs="宋体"/>
          <w:sz w:val="24"/>
          <w:szCs w:val="24"/>
          <w:lang w:val="zh-TW"/>
        </w:rPr>
        <w:t>年的原厂授权和原厂售后服务</w:t>
      </w:r>
      <w:r>
        <w:rPr>
          <w:rFonts w:hint="eastAsia" w:ascii="宋体" w:hAnsi="宋体" w:eastAsia="宋体" w:cs="宋体"/>
          <w:sz w:val="24"/>
          <w:szCs w:val="24"/>
        </w:rPr>
        <w:t>。</w:t>
      </w:r>
    </w:p>
    <w:p>
      <w:pPr>
        <w:pStyle w:val="4"/>
        <w:spacing w:line="360" w:lineRule="auto"/>
        <w:rPr>
          <w:rFonts w:hint="eastAsia" w:ascii="宋体" w:hAnsi="宋体" w:eastAsia="宋体" w:cs="宋体"/>
          <w:bCs/>
          <w:sz w:val="24"/>
          <w:szCs w:val="24"/>
        </w:rPr>
      </w:pPr>
      <w:r>
        <w:rPr>
          <w:rFonts w:hint="eastAsia" w:ascii="宋体" w:hAnsi="宋体" w:eastAsia="宋体" w:cs="宋体"/>
          <w:sz w:val="24"/>
          <w:szCs w:val="24"/>
        </w:rPr>
        <w:t>提供应用软件版本升级、功能维护、咨询和招标人提出的不超过合同范围的功能修改。还包括增强软件性能、提高软件运行效率而需要进行的维护。</w:t>
      </w:r>
    </w:p>
    <w:p>
      <w:pPr>
        <w:pStyle w:val="26"/>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提供预防性服务，在服务的过程中，保证每半年至少巡检一次，并为招标人出具巡检报告。每年提供不低于2次系统巡检，不限次数的现场维护。</w:t>
      </w:r>
    </w:p>
    <w:p>
      <w:pPr>
        <w:pStyle w:val="26"/>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定期跟踪。系统验收完成后中标人应定期通过电话跟踪使用情况，及时了解存在的问题，并随时给予解决。必要时提供技术人员到现场解决问题。并定期派遣技术人员了解系统的运行情况，听取意见和建议，解决存在的问题。</w:t>
      </w:r>
    </w:p>
    <w:p>
      <w:pPr>
        <w:pStyle w:val="4"/>
        <w:numPr>
          <w:ilvl w:val="0"/>
          <w:numId w:val="13"/>
        </w:numPr>
        <w:spacing w:line="360" w:lineRule="auto"/>
        <w:ind w:left="-60" w:leftChars="0" w:firstLine="480" w:firstLineChars="0"/>
        <w:rPr>
          <w:rFonts w:hint="eastAsia" w:ascii="宋体" w:hAnsi="宋体" w:eastAsia="宋体" w:cs="宋体"/>
          <w:bCs/>
          <w:sz w:val="24"/>
          <w:szCs w:val="24"/>
        </w:rPr>
      </w:pPr>
      <w:r>
        <w:rPr>
          <w:rFonts w:hint="eastAsia" w:ascii="宋体" w:hAnsi="宋体" w:eastAsia="宋体" w:cs="宋体"/>
          <w:bCs/>
          <w:sz w:val="24"/>
          <w:szCs w:val="24"/>
        </w:rPr>
        <w:t>售后服务</w:t>
      </w:r>
      <w:r>
        <w:rPr>
          <w:rFonts w:hint="eastAsia" w:ascii="宋体" w:hAnsi="宋体" w:cs="宋体"/>
          <w:bCs/>
          <w:sz w:val="24"/>
          <w:szCs w:val="24"/>
          <w:lang w:val="en-US" w:eastAsia="zh-CN"/>
        </w:rPr>
        <w:t>响应</w:t>
      </w:r>
      <w:r>
        <w:rPr>
          <w:rFonts w:hint="eastAsia" w:ascii="宋体" w:hAnsi="宋体" w:eastAsia="宋体" w:cs="宋体"/>
          <w:bCs/>
          <w:sz w:val="24"/>
          <w:szCs w:val="24"/>
        </w:rPr>
        <w:t>时间</w:t>
      </w:r>
      <w:r>
        <w:rPr>
          <w:rFonts w:hint="eastAsia" w:ascii="宋体" w:hAnsi="宋体" w:cs="宋体"/>
          <w:bCs/>
          <w:sz w:val="24"/>
          <w:szCs w:val="24"/>
          <w:lang w:val="en-US" w:eastAsia="zh-CN"/>
        </w:rPr>
        <w:t>要求</w:t>
      </w:r>
    </w:p>
    <w:p>
      <w:pPr>
        <w:pStyle w:val="4"/>
        <w:spacing w:line="360" w:lineRule="auto"/>
        <w:ind w:firstLine="480"/>
        <w:rPr>
          <w:rFonts w:hint="eastAsia" w:ascii="宋体" w:hAnsi="宋体" w:eastAsia="宋体" w:cs="宋体"/>
          <w:sz w:val="24"/>
          <w:szCs w:val="24"/>
        </w:rPr>
      </w:pPr>
      <w:r>
        <w:rPr>
          <w:rFonts w:hint="eastAsia" w:ascii="宋体" w:hAnsi="宋体" w:eastAsia="宋体" w:cs="宋体"/>
          <w:bCs/>
          <w:sz w:val="24"/>
          <w:szCs w:val="24"/>
        </w:rPr>
        <w:t>保修期内</w:t>
      </w:r>
      <w:r>
        <w:rPr>
          <w:rFonts w:hint="eastAsia" w:ascii="宋体" w:hAnsi="宋体" w:cs="宋体"/>
          <w:bCs/>
          <w:sz w:val="24"/>
          <w:szCs w:val="24"/>
          <w:lang w:eastAsia="zh-CN"/>
        </w:rPr>
        <w:t>，</w:t>
      </w:r>
      <w:r>
        <w:rPr>
          <w:rFonts w:hint="eastAsia" w:ascii="宋体" w:hAnsi="宋体" w:eastAsia="宋体" w:cs="宋体"/>
          <w:bCs/>
          <w:sz w:val="24"/>
          <w:szCs w:val="24"/>
        </w:rPr>
        <w:t>提供软件、硬件三年7*24小时</w:t>
      </w:r>
      <w:r>
        <w:rPr>
          <w:rFonts w:hint="eastAsia" w:ascii="宋体" w:hAnsi="宋体" w:eastAsia="宋体" w:cs="宋体"/>
          <w:sz w:val="24"/>
          <w:szCs w:val="24"/>
        </w:rPr>
        <w:t>电话免费技术咨询和响应服务</w:t>
      </w:r>
      <w:r>
        <w:rPr>
          <w:rFonts w:hint="eastAsia" w:ascii="宋体" w:hAnsi="宋体" w:eastAsia="宋体" w:cs="宋体"/>
          <w:bCs/>
          <w:sz w:val="24"/>
          <w:szCs w:val="24"/>
        </w:rPr>
        <w:t>，在接到系统故障通知后，投标人必须在30分钟内响应。对于影响系统正常运行的严重故障（包括由系统软硬件等原因引起的），投标人工程师及其他相关技术人员必须在接到故障通知后4小时内赶到现场，查找原因，提供解决方案，并工作至故障完全修复，正常服务为止。一般要求保证系统在24小时之内修复</w:t>
      </w:r>
      <w:r>
        <w:rPr>
          <w:rFonts w:hint="eastAsia" w:ascii="宋体" w:hAnsi="宋体" w:eastAsia="宋体" w:cs="宋体"/>
          <w:sz w:val="24"/>
          <w:szCs w:val="24"/>
        </w:rPr>
        <w:t>。</w:t>
      </w:r>
    </w:p>
    <w:p>
      <w:pPr>
        <w:pStyle w:val="4"/>
        <w:spacing w:line="360" w:lineRule="auto"/>
        <w:ind w:firstLine="480"/>
        <w:rPr>
          <w:rFonts w:hint="eastAsia" w:ascii="宋体" w:hAnsi="宋体" w:eastAsia="宋体" w:cs="宋体"/>
          <w:sz w:val="24"/>
          <w:szCs w:val="24"/>
          <w:lang w:eastAsia="zh-CN"/>
        </w:rPr>
      </w:pPr>
      <w:r>
        <w:rPr>
          <w:rFonts w:hint="eastAsia" w:ascii="宋体" w:hAnsi="宋体" w:eastAsia="宋体" w:cs="宋体"/>
          <w:bCs/>
          <w:sz w:val="24"/>
          <w:szCs w:val="24"/>
        </w:rPr>
        <w:t>在上述质保期内，投标人必须配备参加系统</w:t>
      </w:r>
      <w:r>
        <w:rPr>
          <w:rFonts w:hint="eastAsia" w:ascii="宋体" w:hAnsi="宋体" w:cs="宋体"/>
          <w:bCs/>
          <w:sz w:val="24"/>
          <w:szCs w:val="24"/>
          <w:lang w:val="en-US" w:eastAsia="zh-CN"/>
        </w:rPr>
        <w:t>建设</w:t>
      </w:r>
      <w:r>
        <w:rPr>
          <w:rFonts w:hint="eastAsia" w:ascii="宋体" w:hAnsi="宋体" w:eastAsia="宋体" w:cs="宋体"/>
          <w:bCs/>
          <w:sz w:val="24"/>
          <w:szCs w:val="24"/>
        </w:rPr>
        <w:t>的2名技术人员，提供有关软件的技术支持</w:t>
      </w:r>
      <w:r>
        <w:rPr>
          <w:rFonts w:hint="eastAsia" w:ascii="宋体" w:hAnsi="宋体" w:cs="宋体"/>
          <w:bCs/>
          <w:sz w:val="24"/>
          <w:szCs w:val="24"/>
          <w:lang w:eastAsia="zh-CN"/>
        </w:rPr>
        <w:t>。</w:t>
      </w:r>
    </w:p>
    <w:p>
      <w:pPr>
        <w:pStyle w:val="4"/>
        <w:numPr>
          <w:ilvl w:val="0"/>
          <w:numId w:val="13"/>
        </w:numPr>
        <w:spacing w:line="360" w:lineRule="auto"/>
        <w:ind w:left="-60" w:leftChars="0" w:firstLine="480" w:firstLineChars="0"/>
        <w:rPr>
          <w:rFonts w:hint="eastAsia" w:ascii="宋体" w:hAnsi="宋体" w:eastAsia="宋体" w:cs="宋体"/>
          <w:bCs/>
          <w:sz w:val="24"/>
          <w:szCs w:val="24"/>
        </w:rPr>
      </w:pPr>
      <w:r>
        <w:rPr>
          <w:rFonts w:hint="eastAsia" w:ascii="宋体" w:hAnsi="宋体" w:eastAsia="宋体" w:cs="宋体"/>
          <w:bCs/>
          <w:sz w:val="24"/>
          <w:szCs w:val="24"/>
        </w:rPr>
        <w:t>售后服务的形式</w:t>
      </w:r>
    </w:p>
    <w:p>
      <w:pPr>
        <w:pStyle w:val="26"/>
        <w:spacing w:line="360" w:lineRule="auto"/>
        <w:ind w:left="101" w:leftChars="48" w:firstLine="480"/>
        <w:rPr>
          <w:rFonts w:hint="eastAsia" w:ascii="宋体" w:hAnsi="宋体" w:eastAsia="宋体" w:cs="宋体"/>
          <w:sz w:val="24"/>
          <w:szCs w:val="24"/>
        </w:rPr>
      </w:pPr>
      <w:r>
        <w:rPr>
          <w:rFonts w:hint="eastAsia" w:ascii="宋体" w:hAnsi="宋体" w:eastAsia="宋体" w:cs="宋体"/>
          <w:sz w:val="24"/>
          <w:szCs w:val="24"/>
        </w:rPr>
        <w:t>现场支持</w:t>
      </w:r>
      <w:r>
        <w:rPr>
          <w:rFonts w:hint="eastAsia" w:ascii="宋体" w:hAnsi="宋体" w:cs="宋体"/>
          <w:sz w:val="24"/>
          <w:szCs w:val="24"/>
          <w:lang w:eastAsia="zh-CN"/>
        </w:rPr>
        <w:t>：</w:t>
      </w:r>
      <w:r>
        <w:rPr>
          <w:rFonts w:hint="eastAsia" w:ascii="宋体" w:hAnsi="宋体" w:eastAsia="宋体" w:cs="宋体"/>
          <w:sz w:val="24"/>
          <w:szCs w:val="24"/>
        </w:rPr>
        <w:t>在项目实施及售后服务期间要支持维持医院系统的正常运行，工作时间为医院工作日8：00-17：00（根据医院作息时间调整）。</w:t>
      </w:r>
    </w:p>
    <w:p>
      <w:pPr>
        <w:pStyle w:val="26"/>
        <w:spacing w:line="360" w:lineRule="auto"/>
        <w:ind w:left="101" w:leftChars="48" w:firstLine="480"/>
        <w:rPr>
          <w:rFonts w:hint="eastAsia" w:ascii="宋体" w:hAnsi="宋体" w:eastAsia="宋体" w:cs="宋体"/>
          <w:sz w:val="24"/>
          <w:szCs w:val="24"/>
        </w:rPr>
      </w:pPr>
      <w:r>
        <w:rPr>
          <w:rFonts w:hint="eastAsia" w:ascii="宋体" w:hAnsi="宋体" w:eastAsia="宋体" w:cs="宋体"/>
          <w:sz w:val="24"/>
          <w:szCs w:val="24"/>
        </w:rPr>
        <w:t>远程服务</w:t>
      </w:r>
      <w:r>
        <w:rPr>
          <w:rFonts w:hint="eastAsia" w:ascii="宋体" w:hAnsi="宋体" w:cs="宋体"/>
          <w:sz w:val="24"/>
          <w:szCs w:val="24"/>
          <w:lang w:eastAsia="zh-CN"/>
        </w:rPr>
        <w:t>：</w:t>
      </w:r>
      <w:r>
        <w:rPr>
          <w:rFonts w:hint="eastAsia" w:ascii="宋体" w:hAnsi="宋体" w:eastAsia="宋体" w:cs="宋体"/>
          <w:sz w:val="24"/>
          <w:szCs w:val="24"/>
        </w:rPr>
        <w:t>医院允许投标人在现场人员不能排除故障时，授权通过电话线或VPN方式远程登录到院方网络系统进行免费的故障诊断和故障排除；</w:t>
      </w:r>
    </w:p>
    <w:p>
      <w:pPr>
        <w:pStyle w:val="4"/>
        <w:numPr>
          <w:ilvl w:val="0"/>
          <w:numId w:val="13"/>
        </w:numPr>
        <w:spacing w:line="360" w:lineRule="auto"/>
        <w:ind w:left="-60" w:leftChars="0" w:firstLine="480" w:firstLineChars="0"/>
        <w:rPr>
          <w:rFonts w:hint="eastAsia" w:ascii="宋体" w:hAnsi="宋体" w:eastAsia="宋体" w:cs="宋体"/>
          <w:bCs/>
          <w:sz w:val="24"/>
          <w:szCs w:val="24"/>
        </w:rPr>
      </w:pPr>
      <w:r>
        <w:rPr>
          <w:rFonts w:hint="eastAsia" w:ascii="宋体" w:hAnsi="宋体" w:eastAsia="宋体" w:cs="宋体"/>
          <w:bCs/>
          <w:sz w:val="24"/>
          <w:szCs w:val="24"/>
        </w:rPr>
        <w:t>政策性维护</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今后因国家政策或政府、医院上级部门要求导致的被动性程序修改，</w:t>
      </w:r>
      <w:r>
        <w:rPr>
          <w:rFonts w:hint="eastAsia" w:ascii="宋体" w:hAnsi="宋体" w:eastAsia="宋体" w:cs="宋体"/>
          <w:bCs/>
          <w:sz w:val="24"/>
          <w:szCs w:val="24"/>
        </w:rPr>
        <w:t>投标人</w:t>
      </w:r>
      <w:r>
        <w:rPr>
          <w:rFonts w:hint="eastAsia" w:ascii="宋体" w:hAnsi="宋体" w:eastAsia="宋体" w:cs="宋体"/>
          <w:sz w:val="24"/>
          <w:szCs w:val="24"/>
        </w:rPr>
        <w:t>应及时提供程序修改服务，并确保系统的在政策要求的时限内正确运行，该费用包含在投标总价内，医院不再另行支付相关费用。</w:t>
      </w:r>
    </w:p>
    <w:p>
      <w:pPr>
        <w:pStyle w:val="4"/>
        <w:numPr>
          <w:ilvl w:val="0"/>
          <w:numId w:val="13"/>
        </w:numPr>
        <w:spacing w:line="360" w:lineRule="auto"/>
        <w:ind w:left="-60" w:leftChars="0" w:firstLine="480" w:firstLineChars="0"/>
        <w:rPr>
          <w:rFonts w:hint="eastAsia" w:ascii="宋体" w:hAnsi="宋体" w:eastAsia="宋体" w:cs="宋体"/>
          <w:bCs/>
          <w:sz w:val="24"/>
          <w:szCs w:val="24"/>
        </w:rPr>
      </w:pPr>
      <w:r>
        <w:rPr>
          <w:rFonts w:hint="eastAsia" w:ascii="宋体" w:hAnsi="宋体" w:eastAsia="宋体" w:cs="宋体"/>
          <w:bCs/>
          <w:sz w:val="24"/>
          <w:szCs w:val="24"/>
        </w:rPr>
        <w:t>系统升级途径及费用</w:t>
      </w:r>
    </w:p>
    <w:p>
      <w:pPr>
        <w:pStyle w:val="26"/>
        <w:spacing w:line="360" w:lineRule="auto"/>
        <w:ind w:left="101" w:leftChars="48" w:firstLine="480"/>
        <w:rPr>
          <w:rFonts w:hint="eastAsia" w:ascii="宋体" w:hAnsi="宋体" w:eastAsia="宋体" w:cs="宋体"/>
          <w:sz w:val="24"/>
          <w:szCs w:val="24"/>
        </w:rPr>
      </w:pPr>
      <w:r>
        <w:rPr>
          <w:rFonts w:hint="eastAsia" w:ascii="宋体" w:hAnsi="宋体" w:eastAsia="宋体" w:cs="宋体"/>
          <w:sz w:val="24"/>
          <w:szCs w:val="24"/>
        </w:rPr>
        <w:t xml:space="preserve">在实施和质保期（即免费维护期）内，投标人需提供同版本免费升级服务，保证合同范围内功能模块满足客户化需求。 </w:t>
      </w:r>
    </w:p>
    <w:p>
      <w:pPr>
        <w:pStyle w:val="4"/>
        <w:numPr>
          <w:ilvl w:val="0"/>
          <w:numId w:val="13"/>
        </w:numPr>
        <w:spacing w:line="360" w:lineRule="auto"/>
        <w:ind w:left="-60" w:leftChars="0" w:firstLine="480" w:firstLineChars="0"/>
        <w:rPr>
          <w:rFonts w:hint="eastAsia" w:ascii="宋体" w:hAnsi="宋体" w:eastAsia="宋体" w:cs="宋体"/>
          <w:bCs/>
          <w:sz w:val="24"/>
          <w:szCs w:val="24"/>
        </w:rPr>
      </w:pPr>
      <w:r>
        <w:rPr>
          <w:rFonts w:hint="eastAsia" w:ascii="宋体" w:hAnsi="宋体" w:eastAsia="宋体" w:cs="宋体"/>
          <w:bCs/>
          <w:sz w:val="24"/>
          <w:szCs w:val="24"/>
        </w:rPr>
        <w:t>其他售后服务承诺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在系统实施及保修期内，院方提出对软件更改的要求，</w:t>
      </w:r>
      <w:r>
        <w:rPr>
          <w:rFonts w:hint="eastAsia" w:ascii="宋体" w:hAnsi="宋体" w:eastAsia="宋体" w:cs="宋体"/>
          <w:bCs/>
          <w:sz w:val="24"/>
          <w:szCs w:val="24"/>
        </w:rPr>
        <w:t>投标人</w:t>
      </w:r>
      <w:r>
        <w:rPr>
          <w:rFonts w:hint="eastAsia" w:ascii="宋体" w:hAnsi="宋体" w:eastAsia="宋体" w:cs="宋体"/>
          <w:sz w:val="24"/>
          <w:szCs w:val="24"/>
        </w:rPr>
        <w:t>应予以满足。</w:t>
      </w:r>
    </w:p>
    <w:p>
      <w:pPr>
        <w:spacing w:line="360" w:lineRule="auto"/>
        <w:rPr>
          <w:rFonts w:hint="eastAsia" w:ascii="宋体" w:hAnsi="宋体" w:eastAsia="宋体" w:cs="宋体"/>
          <w:sz w:val="24"/>
          <w:szCs w:val="24"/>
        </w:rPr>
      </w:pPr>
      <w:r>
        <w:rPr>
          <w:rFonts w:hint="eastAsia" w:ascii="宋体" w:hAnsi="宋体" w:eastAsia="宋体" w:cs="宋体"/>
          <w:bCs/>
          <w:sz w:val="24"/>
          <w:szCs w:val="24"/>
        </w:rPr>
        <w:t>投标人</w:t>
      </w:r>
      <w:r>
        <w:rPr>
          <w:rFonts w:hint="eastAsia" w:ascii="宋体" w:hAnsi="宋体" w:eastAsia="宋体" w:cs="宋体"/>
          <w:sz w:val="24"/>
          <w:szCs w:val="24"/>
        </w:rPr>
        <w:t>须承诺除完成本合同所规定的应用信息系统建设内容外，还须配合医院对其他信息化建设中的问题进行技术配合，对于接口</w:t>
      </w:r>
      <w:r>
        <w:rPr>
          <w:rFonts w:hint="eastAsia" w:ascii="宋体" w:hAnsi="宋体" w:cs="宋体"/>
          <w:sz w:val="24"/>
          <w:szCs w:val="24"/>
          <w:lang w:val="en-US" w:eastAsia="zh-CN"/>
        </w:rPr>
        <w:t>开放</w:t>
      </w:r>
      <w:r>
        <w:rPr>
          <w:rFonts w:hint="eastAsia" w:ascii="宋体" w:hAnsi="宋体" w:eastAsia="宋体" w:cs="宋体"/>
          <w:sz w:val="24"/>
          <w:szCs w:val="24"/>
        </w:rPr>
        <w:t>以及医院建设中涉及的信息系统技术问题，</w:t>
      </w:r>
      <w:r>
        <w:rPr>
          <w:rFonts w:hint="eastAsia" w:ascii="宋体" w:hAnsi="宋体" w:eastAsia="宋体" w:cs="宋体"/>
          <w:bCs/>
          <w:sz w:val="24"/>
          <w:szCs w:val="24"/>
        </w:rPr>
        <w:t>投标人</w:t>
      </w:r>
      <w:r>
        <w:rPr>
          <w:rFonts w:hint="eastAsia" w:ascii="宋体" w:hAnsi="宋体" w:eastAsia="宋体" w:cs="宋体"/>
          <w:sz w:val="24"/>
          <w:szCs w:val="24"/>
        </w:rPr>
        <w:t>须做无推诿承诺。</w:t>
      </w:r>
    </w:p>
    <w:p>
      <w:pPr>
        <w:pStyle w:val="4"/>
        <w:numPr>
          <w:ilvl w:val="0"/>
          <w:numId w:val="13"/>
        </w:numPr>
        <w:spacing w:line="360" w:lineRule="auto"/>
        <w:ind w:left="-60" w:leftChars="0" w:firstLine="480" w:firstLineChars="0"/>
        <w:rPr>
          <w:rFonts w:hint="eastAsia" w:ascii="宋体" w:hAnsi="宋体" w:eastAsia="宋体" w:cs="宋体"/>
          <w:bCs/>
          <w:sz w:val="24"/>
          <w:szCs w:val="24"/>
        </w:rPr>
      </w:pPr>
      <w:r>
        <w:rPr>
          <w:rFonts w:hint="eastAsia" w:ascii="宋体" w:hAnsi="宋体" w:eastAsia="宋体" w:cs="宋体"/>
          <w:bCs/>
          <w:sz w:val="24"/>
          <w:szCs w:val="24"/>
        </w:rPr>
        <w:t>保修期外续保的系统维护要求</w:t>
      </w:r>
    </w:p>
    <w:p>
      <w:pPr>
        <w:numPr>
          <w:ilvl w:val="0"/>
          <w:numId w:val="14"/>
        </w:numPr>
        <w:spacing w:line="360" w:lineRule="auto"/>
        <w:ind w:left="1265" w:leftChars="0" w:hanging="425" w:firstLineChars="0"/>
        <w:rPr>
          <w:rFonts w:hint="eastAsia" w:ascii="宋体" w:hAnsi="宋体" w:eastAsia="宋体" w:cs="宋体"/>
          <w:sz w:val="24"/>
          <w:szCs w:val="24"/>
        </w:rPr>
      </w:pPr>
      <w:r>
        <w:rPr>
          <w:rFonts w:hint="eastAsia" w:ascii="宋体" w:hAnsi="宋体" w:eastAsia="宋体" w:cs="宋体"/>
          <w:sz w:val="24"/>
          <w:szCs w:val="24"/>
        </w:rPr>
        <w:t>提供续保期内的技术支持和维护服务；</w:t>
      </w:r>
    </w:p>
    <w:p>
      <w:pPr>
        <w:numPr>
          <w:ilvl w:val="0"/>
          <w:numId w:val="14"/>
        </w:numPr>
        <w:spacing w:line="360" w:lineRule="auto"/>
        <w:ind w:left="1265" w:leftChars="0" w:hanging="425" w:firstLineChars="0"/>
        <w:rPr>
          <w:rFonts w:hint="eastAsia" w:ascii="宋体" w:hAnsi="宋体" w:eastAsia="宋体" w:cs="宋体"/>
          <w:sz w:val="24"/>
          <w:szCs w:val="24"/>
        </w:rPr>
      </w:pPr>
      <w:r>
        <w:rPr>
          <w:rFonts w:hint="eastAsia" w:ascii="宋体" w:hAnsi="宋体" w:eastAsia="宋体" w:cs="宋体"/>
          <w:sz w:val="24"/>
          <w:szCs w:val="24"/>
        </w:rPr>
        <w:t>系统维护方案内容应包括但不限于以下内容：</w:t>
      </w:r>
    </w:p>
    <w:p>
      <w:pPr>
        <w:numPr>
          <w:ilvl w:val="1"/>
          <w:numId w:val="15"/>
        </w:numPr>
        <w:spacing w:line="360" w:lineRule="auto"/>
        <w:ind w:left="570" w:leftChars="0" w:firstLine="480" w:firstLineChars="0"/>
        <w:rPr>
          <w:rFonts w:hint="eastAsia" w:ascii="宋体" w:hAnsi="宋体" w:eastAsia="宋体" w:cs="宋体"/>
          <w:sz w:val="24"/>
          <w:szCs w:val="24"/>
        </w:rPr>
      </w:pPr>
      <w:r>
        <w:rPr>
          <w:rFonts w:hint="eastAsia" w:ascii="宋体" w:hAnsi="宋体" w:eastAsia="宋体" w:cs="宋体"/>
          <w:sz w:val="24"/>
          <w:szCs w:val="24"/>
        </w:rPr>
        <w:t>常规的维护：程序漏洞的修复、版本的升级；</w:t>
      </w:r>
    </w:p>
    <w:p>
      <w:pPr>
        <w:numPr>
          <w:ilvl w:val="1"/>
          <w:numId w:val="15"/>
        </w:numPr>
        <w:spacing w:line="360" w:lineRule="auto"/>
        <w:ind w:left="570" w:leftChars="0" w:firstLine="480" w:firstLineChars="0"/>
        <w:rPr>
          <w:rFonts w:hint="eastAsia" w:ascii="宋体" w:hAnsi="宋体" w:eastAsia="宋体" w:cs="宋体"/>
          <w:sz w:val="24"/>
          <w:szCs w:val="24"/>
        </w:rPr>
      </w:pPr>
      <w:r>
        <w:rPr>
          <w:rFonts w:hint="eastAsia" w:ascii="宋体" w:hAnsi="宋体" w:eastAsia="宋体" w:cs="宋体"/>
          <w:sz w:val="24"/>
          <w:szCs w:val="24"/>
        </w:rPr>
        <w:t>对医院信息中心技术人员提供技术培训。</w:t>
      </w:r>
    </w:p>
    <w:p>
      <w:pPr>
        <w:spacing w:line="360" w:lineRule="auto"/>
        <w:ind w:firstLine="200"/>
        <w:rPr>
          <w:rFonts w:hint="eastAsia" w:ascii="宋体" w:hAnsi="宋体" w:eastAsia="宋体" w:cs="宋体"/>
          <w:sz w:val="24"/>
          <w:szCs w:val="24"/>
        </w:rPr>
      </w:pPr>
    </w:p>
    <w:p>
      <w:pPr>
        <w:pStyle w:val="2"/>
        <w:keepNext w:val="0"/>
        <w:widowControl/>
        <w:numPr>
          <w:ilvl w:val="0"/>
          <w:numId w:val="2"/>
        </w:numPr>
        <w:adjustRightInd w:val="0"/>
        <w:snapToGrid w:val="0"/>
        <w:spacing w:before="156" w:beforeLines="50" w:after="0" w:line="360" w:lineRule="auto"/>
        <w:ind w:left="0" w:leftChars="0" w:firstLine="0" w:firstLineChars="0"/>
        <w:jc w:val="left"/>
        <w:rPr>
          <w:rFonts w:hint="eastAsia" w:ascii="宋体" w:hAnsi="宋体" w:eastAsia="宋体" w:cs="宋体"/>
          <w:sz w:val="24"/>
          <w:szCs w:val="24"/>
        </w:rPr>
      </w:pPr>
      <w:r>
        <w:rPr>
          <w:rFonts w:hint="eastAsia" w:ascii="宋体" w:hAnsi="宋体" w:eastAsia="宋体" w:cs="宋体"/>
          <w:sz w:val="24"/>
          <w:szCs w:val="24"/>
        </w:rPr>
        <w:t>文档要求</w:t>
      </w:r>
    </w:p>
    <w:p>
      <w:pPr>
        <w:numPr>
          <w:ilvl w:val="0"/>
          <w:numId w:val="16"/>
        </w:numPr>
        <w:spacing w:line="360" w:lineRule="auto"/>
        <w:ind w:left="425" w:leftChars="0" w:hanging="425" w:firstLineChars="0"/>
        <w:rPr>
          <w:rFonts w:hint="eastAsia" w:ascii="宋体" w:hAnsi="宋体" w:eastAsia="宋体" w:cs="宋体"/>
          <w:b/>
          <w:kern w:val="0"/>
          <w:sz w:val="24"/>
          <w:szCs w:val="24"/>
        </w:rPr>
      </w:pPr>
      <w:r>
        <w:rPr>
          <w:rFonts w:hint="eastAsia" w:ascii="宋体" w:hAnsi="宋体" w:eastAsia="宋体" w:cs="宋体"/>
          <w:b/>
          <w:kern w:val="0"/>
          <w:sz w:val="24"/>
          <w:szCs w:val="24"/>
        </w:rPr>
        <w:t>文档内容要求</w:t>
      </w:r>
    </w:p>
    <w:p>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本项目</w:t>
      </w:r>
      <w:r>
        <w:rPr>
          <w:rFonts w:hint="eastAsia" w:ascii="宋体" w:hAnsi="宋体" w:eastAsia="宋体" w:cs="宋体"/>
          <w:sz w:val="24"/>
          <w:szCs w:val="24"/>
        </w:rPr>
        <w:t>系统</w:t>
      </w:r>
      <w:r>
        <w:rPr>
          <w:rFonts w:hint="eastAsia" w:ascii="宋体" w:hAnsi="宋体" w:cs="宋体"/>
          <w:sz w:val="24"/>
          <w:szCs w:val="24"/>
          <w:lang w:val="en-US" w:eastAsia="zh-CN"/>
        </w:rPr>
        <w:t>建设</w:t>
      </w:r>
      <w:r>
        <w:rPr>
          <w:rFonts w:hint="eastAsia" w:ascii="宋体" w:hAnsi="宋体" w:eastAsia="宋体" w:cs="宋体"/>
          <w:sz w:val="24"/>
          <w:szCs w:val="24"/>
        </w:rPr>
        <w:t>应严格遵照国家规范进行，根据</w:t>
      </w:r>
      <w:r>
        <w:rPr>
          <w:rFonts w:hint="eastAsia" w:ascii="宋体" w:hAnsi="宋体" w:cs="宋体"/>
          <w:sz w:val="24"/>
          <w:szCs w:val="24"/>
          <w:lang w:val="en-US" w:eastAsia="zh-CN"/>
        </w:rPr>
        <w:t>项目实施</w:t>
      </w:r>
      <w:r>
        <w:rPr>
          <w:rFonts w:hint="eastAsia" w:ascii="宋体" w:hAnsi="宋体" w:eastAsia="宋体" w:cs="宋体"/>
          <w:sz w:val="24"/>
          <w:szCs w:val="24"/>
        </w:rPr>
        <w:t>进度及时提供有关</w:t>
      </w:r>
      <w:r>
        <w:rPr>
          <w:rFonts w:hint="eastAsia" w:ascii="宋体" w:hAnsi="宋体" w:cs="宋体"/>
          <w:sz w:val="24"/>
          <w:szCs w:val="24"/>
          <w:lang w:val="en-US" w:eastAsia="zh-CN"/>
        </w:rPr>
        <w:t>项目</w:t>
      </w:r>
      <w:r>
        <w:rPr>
          <w:rFonts w:hint="eastAsia" w:ascii="宋体" w:hAnsi="宋体" w:eastAsia="宋体" w:cs="宋体"/>
          <w:sz w:val="24"/>
          <w:szCs w:val="24"/>
        </w:rPr>
        <w:t>文档，包括</w:t>
      </w:r>
      <w:r>
        <w:rPr>
          <w:rFonts w:hint="eastAsia" w:ascii="宋体" w:hAnsi="宋体" w:cs="宋体"/>
          <w:sz w:val="24"/>
          <w:szCs w:val="24"/>
          <w:lang w:val="en-US" w:eastAsia="zh-CN"/>
        </w:rPr>
        <w:t>开箱报验报审记录</w:t>
      </w:r>
      <w:r>
        <w:rPr>
          <w:rFonts w:hint="eastAsia" w:ascii="宋体" w:hAnsi="宋体" w:eastAsia="宋体" w:cs="宋体"/>
          <w:sz w:val="24"/>
          <w:szCs w:val="24"/>
        </w:rPr>
        <w:t>、测试计划、测试记录、用户手册、培训计划、培训记录、例会记录</w:t>
      </w:r>
      <w:r>
        <w:rPr>
          <w:rFonts w:hint="eastAsia" w:ascii="宋体" w:hAnsi="宋体" w:cs="宋体"/>
          <w:sz w:val="24"/>
          <w:szCs w:val="24"/>
          <w:lang w:eastAsia="zh-CN"/>
        </w:rPr>
        <w:t>、</w:t>
      </w:r>
      <w:r>
        <w:rPr>
          <w:rFonts w:hint="eastAsia" w:ascii="宋体" w:hAnsi="宋体" w:eastAsia="宋体" w:cs="宋体"/>
          <w:sz w:val="24"/>
          <w:szCs w:val="24"/>
        </w:rPr>
        <w:t>测试报告、系统操作手册、系统安装手册</w:t>
      </w:r>
      <w:r>
        <w:rPr>
          <w:rFonts w:hint="eastAsia" w:ascii="宋体" w:hAnsi="宋体" w:cs="宋体"/>
          <w:sz w:val="24"/>
          <w:szCs w:val="24"/>
          <w:lang w:eastAsia="zh-CN"/>
        </w:rPr>
        <w:t>、</w:t>
      </w:r>
      <w:r>
        <w:rPr>
          <w:rFonts w:hint="eastAsia" w:ascii="宋体" w:hAnsi="宋体" w:cs="宋体"/>
          <w:sz w:val="24"/>
          <w:szCs w:val="24"/>
          <w:lang w:val="en-US" w:eastAsia="zh-CN"/>
        </w:rPr>
        <w:t>试运行方案</w:t>
      </w:r>
      <w:r>
        <w:rPr>
          <w:rFonts w:hint="eastAsia" w:ascii="宋体" w:hAnsi="宋体" w:eastAsia="宋体" w:cs="宋体"/>
          <w:sz w:val="24"/>
          <w:szCs w:val="24"/>
        </w:rPr>
        <w:t>以及招标人认为必要的其他文档等。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未经招标人认可的情况下，所有的技术文件必须用中文书写或有完整的中文注释。</w:t>
      </w:r>
    </w:p>
    <w:p>
      <w:pPr>
        <w:numPr>
          <w:ilvl w:val="0"/>
          <w:numId w:val="16"/>
        </w:numPr>
        <w:spacing w:line="360" w:lineRule="auto"/>
        <w:ind w:left="425" w:leftChars="0" w:hanging="425" w:firstLineChars="0"/>
        <w:rPr>
          <w:rFonts w:hint="eastAsia" w:ascii="宋体" w:hAnsi="宋体" w:eastAsia="宋体" w:cs="宋体"/>
          <w:b/>
          <w:kern w:val="0"/>
          <w:sz w:val="24"/>
          <w:szCs w:val="24"/>
        </w:rPr>
      </w:pPr>
      <w:r>
        <w:rPr>
          <w:rFonts w:hint="eastAsia" w:ascii="宋体" w:hAnsi="宋体" w:eastAsia="宋体" w:cs="宋体"/>
          <w:b/>
          <w:kern w:val="0"/>
          <w:sz w:val="24"/>
          <w:szCs w:val="24"/>
        </w:rPr>
        <w:t>文档管理要求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本项目所有文档最终必须向招标人提供纸质和电子文档各一套。中标人必须设置专人在项目建设期间对文档进行检查和管理，项目最终验收后全部移交招标人。</w:t>
      </w:r>
    </w:p>
    <w:p>
      <w:pPr>
        <w:spacing w:line="360" w:lineRule="auto"/>
        <w:ind w:firstLine="480" w:firstLineChars="200"/>
        <w:rPr>
          <w:rFonts w:hint="eastAsia" w:ascii="宋体" w:hAnsi="宋体" w:eastAsia="宋体" w:cs="宋体"/>
          <w:sz w:val="24"/>
          <w:szCs w:val="24"/>
        </w:rPr>
      </w:pPr>
    </w:p>
    <w:p>
      <w:pPr>
        <w:pStyle w:val="2"/>
        <w:keepNext w:val="0"/>
        <w:widowControl/>
        <w:numPr>
          <w:ilvl w:val="0"/>
          <w:numId w:val="2"/>
        </w:numPr>
        <w:adjustRightInd w:val="0"/>
        <w:snapToGrid w:val="0"/>
        <w:spacing w:before="156" w:beforeLines="50" w:after="0" w:line="360" w:lineRule="auto"/>
        <w:ind w:left="0" w:leftChars="0" w:firstLine="0" w:firstLineChars="0"/>
        <w:jc w:val="left"/>
        <w:rPr>
          <w:rFonts w:hint="eastAsia" w:ascii="宋体" w:hAnsi="宋体" w:eastAsia="宋体" w:cs="宋体"/>
          <w:sz w:val="24"/>
          <w:szCs w:val="24"/>
        </w:rPr>
      </w:pPr>
      <w:r>
        <w:rPr>
          <w:rFonts w:hint="eastAsia" w:ascii="宋体" w:hAnsi="宋体" w:eastAsia="宋体" w:cs="宋体"/>
          <w:sz w:val="24"/>
          <w:szCs w:val="24"/>
        </w:rPr>
        <w:t>知识产权要求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在本项目建设过程中，投标人为本项目所产生的设计方案、编写的应用软件和管理文档、编制的管理制度，其版权归招标人所有。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按照合同交付招标人的所有软、硬件产品不得侵犯任何第三方的知识产权和其他合法权益。投标人对招标人正常使用这些交付物的合法性负责。为合法使用这些交付物，招标人如果需要支付与投标人所签合同总额以外的费用，该投标人应该事先在其投标文件中说明。</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投标人承诺全部承担今后凡因本项目相关部分知识产权方面可能产生的任何问题、纠纷乃至赔偿等。</w:t>
      </w:r>
    </w:p>
    <w:p>
      <w:pPr>
        <w:pStyle w:val="2"/>
        <w:keepNext w:val="0"/>
        <w:widowControl/>
        <w:numPr>
          <w:ilvl w:val="0"/>
          <w:numId w:val="2"/>
        </w:numPr>
        <w:adjustRightInd w:val="0"/>
        <w:snapToGrid w:val="0"/>
        <w:spacing w:before="156" w:beforeLines="50" w:after="0" w:line="360" w:lineRule="auto"/>
        <w:ind w:left="0" w:leftChars="0" w:firstLine="0" w:firstLineChars="0"/>
        <w:jc w:val="left"/>
        <w:rPr>
          <w:rFonts w:hint="eastAsia" w:ascii="宋体" w:hAnsi="宋体" w:eastAsia="宋体" w:cs="宋体"/>
          <w:sz w:val="24"/>
          <w:szCs w:val="24"/>
        </w:rPr>
      </w:pPr>
      <w:r>
        <w:rPr>
          <w:rFonts w:hint="eastAsia" w:ascii="宋体" w:hAnsi="宋体" w:eastAsia="宋体" w:cs="宋体"/>
          <w:sz w:val="24"/>
          <w:szCs w:val="24"/>
        </w:rPr>
        <w:t>对系统的保密范围要求</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sz w:val="24"/>
          <w:szCs w:val="24"/>
        </w:rPr>
        <w:t>投标人承诺在实施和维护过程中，任何涉及医院的信息，包括但不限于医院数据、医院特有的功能需求等，未得到医院同意的情况下不得对任何第三方展示、举例乃至销售，否则投标人将承担由此产生的一切后果。</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3766154"/>
    </w:sdtPr>
    <w:sdtContent>
      <w:sdt>
        <w:sdtPr>
          <w:id w:val="-1705238520"/>
        </w:sdtPr>
        <w:sdtContent>
          <w:p>
            <w:pPr>
              <w:pStyle w:val="7"/>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4053C7"/>
    <w:multiLevelType w:val="singleLevel"/>
    <w:tmpl w:val="A24053C7"/>
    <w:lvl w:ilvl="0" w:tentative="0">
      <w:start w:val="1"/>
      <w:numFmt w:val="decimal"/>
      <w:lvlText w:val="%1."/>
      <w:lvlJc w:val="left"/>
      <w:pPr>
        <w:ind w:left="425" w:hanging="425"/>
      </w:pPr>
      <w:rPr>
        <w:rFonts w:hint="default"/>
      </w:rPr>
    </w:lvl>
  </w:abstractNum>
  <w:abstractNum w:abstractNumId="1">
    <w:nsid w:val="A6C1FED5"/>
    <w:multiLevelType w:val="singleLevel"/>
    <w:tmpl w:val="A6C1FED5"/>
    <w:lvl w:ilvl="0" w:tentative="0">
      <w:start w:val="1"/>
      <w:numFmt w:val="upperLetter"/>
      <w:lvlText w:val="%1."/>
      <w:lvlJc w:val="left"/>
      <w:pPr>
        <w:ind w:left="1265" w:hanging="425"/>
      </w:pPr>
      <w:rPr>
        <w:rFonts w:hint="default"/>
      </w:rPr>
    </w:lvl>
  </w:abstractNum>
  <w:abstractNum w:abstractNumId="2">
    <w:nsid w:val="BC8F22E2"/>
    <w:multiLevelType w:val="singleLevel"/>
    <w:tmpl w:val="BC8F22E2"/>
    <w:lvl w:ilvl="0" w:tentative="0">
      <w:start w:val="1"/>
      <w:numFmt w:val="decimal"/>
      <w:lvlText w:val="(%1)"/>
      <w:lvlJc w:val="left"/>
      <w:pPr>
        <w:ind w:left="425" w:hanging="425"/>
      </w:pPr>
      <w:rPr>
        <w:rFonts w:hint="default"/>
      </w:rPr>
    </w:lvl>
  </w:abstractNum>
  <w:abstractNum w:abstractNumId="3">
    <w:nsid w:val="C403731E"/>
    <w:multiLevelType w:val="singleLevel"/>
    <w:tmpl w:val="C403731E"/>
    <w:lvl w:ilvl="0" w:tentative="0">
      <w:start w:val="1"/>
      <w:numFmt w:val="decimal"/>
      <w:lvlText w:val="%1."/>
      <w:lvlJc w:val="left"/>
      <w:pPr>
        <w:ind w:left="425" w:hanging="425"/>
      </w:pPr>
      <w:rPr>
        <w:rFonts w:hint="default"/>
      </w:rPr>
    </w:lvl>
  </w:abstractNum>
  <w:abstractNum w:abstractNumId="4">
    <w:nsid w:val="CFFC17D6"/>
    <w:multiLevelType w:val="singleLevel"/>
    <w:tmpl w:val="CFFC17D6"/>
    <w:lvl w:ilvl="0" w:tentative="0">
      <w:start w:val="1"/>
      <w:numFmt w:val="decimal"/>
      <w:lvlText w:val="%1."/>
      <w:lvlJc w:val="left"/>
      <w:pPr>
        <w:ind w:left="845" w:hanging="425"/>
      </w:pPr>
      <w:rPr>
        <w:rFonts w:hint="default"/>
      </w:rPr>
    </w:lvl>
  </w:abstractNum>
  <w:abstractNum w:abstractNumId="5">
    <w:nsid w:val="E7F8CBF4"/>
    <w:multiLevelType w:val="singleLevel"/>
    <w:tmpl w:val="E7F8CBF4"/>
    <w:lvl w:ilvl="0" w:tentative="0">
      <w:start w:val="1"/>
      <w:numFmt w:val="decimal"/>
      <w:lvlText w:val="%1."/>
      <w:lvlJc w:val="left"/>
      <w:pPr>
        <w:tabs>
          <w:tab w:val="left" w:pos="312"/>
        </w:tabs>
      </w:pPr>
    </w:lvl>
  </w:abstractNum>
  <w:abstractNum w:abstractNumId="6">
    <w:nsid w:val="00000021"/>
    <w:multiLevelType w:val="multilevel"/>
    <w:tmpl w:val="00000021"/>
    <w:lvl w:ilvl="0" w:tentative="0">
      <w:start w:val="1"/>
      <w:numFmt w:val="bullet"/>
      <w:lvlText w:val=""/>
      <w:lvlJc w:val="left"/>
      <w:pPr>
        <w:ind w:left="1050" w:hanging="420"/>
      </w:pPr>
      <w:rPr>
        <w:rFonts w:hint="default" w:ascii="Wingdings" w:hAnsi="Wingdings"/>
      </w:rPr>
    </w:lvl>
    <w:lvl w:ilvl="1" w:tentative="0">
      <w:start w:val="1"/>
      <w:numFmt w:val="bullet"/>
      <w:lvlText w:val=""/>
      <w:lvlJc w:val="left"/>
      <w:pPr>
        <w:ind w:left="183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
    <w:nsid w:val="2034B441"/>
    <w:multiLevelType w:val="singleLevel"/>
    <w:tmpl w:val="2034B441"/>
    <w:lvl w:ilvl="0" w:tentative="0">
      <w:start w:val="1"/>
      <w:numFmt w:val="decimal"/>
      <w:lvlText w:val="(%1)"/>
      <w:lvlJc w:val="left"/>
      <w:pPr>
        <w:ind w:left="425" w:hanging="425"/>
      </w:pPr>
      <w:rPr>
        <w:rFonts w:hint="default"/>
      </w:rPr>
    </w:lvl>
  </w:abstractNum>
  <w:abstractNum w:abstractNumId="8">
    <w:nsid w:val="2B3544F0"/>
    <w:multiLevelType w:val="multilevel"/>
    <w:tmpl w:val="2B3544F0"/>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9">
    <w:nsid w:val="30BCEE05"/>
    <w:multiLevelType w:val="singleLevel"/>
    <w:tmpl w:val="30BCEE05"/>
    <w:lvl w:ilvl="0" w:tentative="0">
      <w:start w:val="1"/>
      <w:numFmt w:val="decimal"/>
      <w:lvlText w:val="%1."/>
      <w:lvlJc w:val="left"/>
      <w:pPr>
        <w:ind w:left="425" w:hanging="425"/>
      </w:pPr>
      <w:rPr>
        <w:rFonts w:hint="default"/>
      </w:rPr>
    </w:lvl>
  </w:abstractNum>
  <w:abstractNum w:abstractNumId="10">
    <w:nsid w:val="30C3A3A5"/>
    <w:multiLevelType w:val="singleLevel"/>
    <w:tmpl w:val="30C3A3A5"/>
    <w:lvl w:ilvl="0" w:tentative="0">
      <w:start w:val="1"/>
      <w:numFmt w:val="decimal"/>
      <w:lvlText w:val="(%1)"/>
      <w:lvlJc w:val="left"/>
      <w:pPr>
        <w:ind w:left="425" w:hanging="425"/>
      </w:pPr>
      <w:rPr>
        <w:rFonts w:hint="default"/>
      </w:rPr>
    </w:lvl>
  </w:abstractNum>
  <w:abstractNum w:abstractNumId="11">
    <w:nsid w:val="38B06D6C"/>
    <w:multiLevelType w:val="multilevel"/>
    <w:tmpl w:val="38B06D6C"/>
    <w:lvl w:ilvl="0" w:tentative="0">
      <w:start w:val="1"/>
      <w:numFmt w:val="chineseCountingThousand"/>
      <w:pStyle w:val="12"/>
      <w:suff w:val="space"/>
      <w:lvlText w:val="第%1章"/>
      <w:lvlJc w:val="left"/>
      <w:pPr>
        <w:ind w:left="0" w:firstLine="0"/>
      </w:pPr>
      <w:rPr>
        <w:rFonts w:hint="eastAsia"/>
      </w:rPr>
    </w:lvl>
    <w:lvl w:ilvl="1" w:tentative="0">
      <w:start w:val="1"/>
      <w:numFmt w:val="decimal"/>
      <w:isLgl/>
      <w:suff w:val="space"/>
      <w:lvlText w:val="%1.%2"/>
      <w:lvlJc w:val="left"/>
      <w:pPr>
        <w:ind w:left="0" w:firstLine="0"/>
      </w:pPr>
      <w:rPr>
        <w:rFonts w:hint="eastAsia" w:eastAsia="宋体" w:asciiTheme="minorEastAsia" w:hAnsiTheme="minorEastAsia"/>
      </w:rPr>
    </w:lvl>
    <w:lvl w:ilvl="2" w:tentative="0">
      <w:start w:val="1"/>
      <w:numFmt w:val="decimal"/>
      <w:isLgl/>
      <w:suff w:val="space"/>
      <w:lvlText w:val="%1.%2.%3"/>
      <w:lvlJc w:val="left"/>
      <w:pPr>
        <w:ind w:left="0" w:firstLine="0"/>
      </w:pPr>
      <w:rPr>
        <w:rFonts w:hint="eastAsia" w:eastAsia="宋体" w:asciiTheme="minorEastAsia" w:hAnsiTheme="minorEastAsia"/>
      </w:rPr>
    </w:lvl>
    <w:lvl w:ilvl="3" w:tentative="0">
      <w:start w:val="1"/>
      <w:numFmt w:val="decimal"/>
      <w:isLgl/>
      <w:suff w:val="space"/>
      <w:lvlText w:val="%1.%2.%3.%4"/>
      <w:lvlJc w:val="left"/>
      <w:pPr>
        <w:ind w:left="0" w:firstLine="0"/>
      </w:pPr>
      <w:rPr>
        <w:rFonts w:hint="eastAsia" w:eastAsia="宋体" w:asciiTheme="minorEastAsia" w:hAnsiTheme="minorEastAsia"/>
      </w:rPr>
    </w:lvl>
    <w:lvl w:ilvl="4" w:tentative="0">
      <w:start w:val="1"/>
      <w:numFmt w:val="decimal"/>
      <w:isLgl/>
      <w:suff w:val="space"/>
      <w:lvlText w:val="%1.%2.%3.%4.%5"/>
      <w:lvlJc w:val="left"/>
      <w:pPr>
        <w:ind w:left="0" w:firstLine="0"/>
      </w:pPr>
      <w:rPr>
        <w:rFonts w:hint="eastAsia"/>
      </w:rPr>
    </w:lvl>
    <w:lvl w:ilvl="5" w:tentative="0">
      <w:start w:val="1"/>
      <w:numFmt w:val="decimal"/>
      <w:isLgl/>
      <w:suff w:val="nothing"/>
      <w:lvlText w:val="%1.%2.%3.%4.%5.%6"/>
      <w:lvlJc w:val="left"/>
      <w:pPr>
        <w:ind w:left="0" w:firstLine="0"/>
      </w:pPr>
      <w:rPr>
        <w:rFonts w:hint="eastAsia"/>
      </w:rPr>
    </w:lvl>
    <w:lvl w:ilvl="6" w:tentative="0">
      <w:start w:val="1"/>
      <w:numFmt w:val="decimal"/>
      <w:isLgl/>
      <w:suff w:val="nothing"/>
      <w:lvlText w:val="%1.%2.%3.%4.%5.%6.%7"/>
      <w:lvlJc w:val="left"/>
      <w:pPr>
        <w:ind w:left="0" w:firstLine="0"/>
      </w:pPr>
      <w:rPr>
        <w:rFonts w:hint="eastAsia"/>
      </w:rPr>
    </w:lvl>
    <w:lvl w:ilvl="7" w:tentative="0">
      <w:start w:val="1"/>
      <w:numFmt w:val="decimal"/>
      <w:isLgl/>
      <w:suff w:val="nothing"/>
      <w:lvlText w:val="%1.%2.%3.%4.%5.%6.%7.%8"/>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2">
    <w:nsid w:val="3A8D9543"/>
    <w:multiLevelType w:val="singleLevel"/>
    <w:tmpl w:val="3A8D9543"/>
    <w:lvl w:ilvl="0" w:tentative="0">
      <w:start w:val="1"/>
      <w:numFmt w:val="decimal"/>
      <w:lvlText w:val="(%1)"/>
      <w:lvlJc w:val="left"/>
      <w:pPr>
        <w:ind w:left="425" w:hanging="425"/>
      </w:pPr>
      <w:rPr>
        <w:rFonts w:hint="default"/>
      </w:rPr>
    </w:lvl>
  </w:abstractNum>
  <w:abstractNum w:abstractNumId="13">
    <w:nsid w:val="410E48B4"/>
    <w:multiLevelType w:val="singleLevel"/>
    <w:tmpl w:val="410E48B4"/>
    <w:lvl w:ilvl="0" w:tentative="0">
      <w:start w:val="1"/>
      <w:numFmt w:val="decimal"/>
      <w:lvlText w:val="%1."/>
      <w:lvlJc w:val="left"/>
      <w:pPr>
        <w:ind w:left="425" w:hanging="425"/>
      </w:pPr>
      <w:rPr>
        <w:rFonts w:hint="default"/>
      </w:rPr>
    </w:lvl>
  </w:abstractNum>
  <w:abstractNum w:abstractNumId="14">
    <w:nsid w:val="5479076A"/>
    <w:multiLevelType w:val="singleLevel"/>
    <w:tmpl w:val="5479076A"/>
    <w:lvl w:ilvl="0" w:tentative="0">
      <w:start w:val="1"/>
      <w:numFmt w:val="chineseCounting"/>
      <w:suff w:val="nothing"/>
      <w:lvlText w:val="%1、"/>
      <w:lvlJc w:val="left"/>
      <w:pPr>
        <w:ind w:left="0" w:firstLine="420"/>
      </w:pPr>
      <w:rPr>
        <w:rFonts w:hint="eastAsia"/>
      </w:rPr>
    </w:lvl>
  </w:abstractNum>
  <w:abstractNum w:abstractNumId="15">
    <w:nsid w:val="611B09BA"/>
    <w:multiLevelType w:val="singleLevel"/>
    <w:tmpl w:val="611B09BA"/>
    <w:lvl w:ilvl="0" w:tentative="0">
      <w:start w:val="1"/>
      <w:numFmt w:val="decimal"/>
      <w:lvlText w:val="%1."/>
      <w:lvlJc w:val="left"/>
      <w:pPr>
        <w:tabs>
          <w:tab w:val="left" w:pos="312"/>
        </w:tabs>
      </w:pPr>
    </w:lvl>
  </w:abstractNum>
  <w:num w:numId="1">
    <w:abstractNumId w:val="11"/>
  </w:num>
  <w:num w:numId="2">
    <w:abstractNumId w:val="14"/>
  </w:num>
  <w:num w:numId="3">
    <w:abstractNumId w:val="4"/>
  </w:num>
  <w:num w:numId="4">
    <w:abstractNumId w:val="13"/>
  </w:num>
  <w:num w:numId="5">
    <w:abstractNumId w:val="3"/>
  </w:num>
  <w:num w:numId="6">
    <w:abstractNumId w:val="15"/>
  </w:num>
  <w:num w:numId="7">
    <w:abstractNumId w:val="5"/>
  </w:num>
  <w:num w:numId="8">
    <w:abstractNumId w:val="2"/>
  </w:num>
  <w:num w:numId="9">
    <w:abstractNumId w:val="0"/>
  </w:num>
  <w:num w:numId="10">
    <w:abstractNumId w:val="12"/>
  </w:num>
  <w:num w:numId="11">
    <w:abstractNumId w:val="10"/>
  </w:num>
  <w:num w:numId="12">
    <w:abstractNumId w:val="8"/>
  </w:num>
  <w:num w:numId="13">
    <w:abstractNumId w:val="7"/>
  </w:num>
  <w:num w:numId="14">
    <w:abstractNumId w:val="1"/>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g4MGVlZmFkYzYyNWI1NTkwY2QwNGYwZmIxMDQ1ZjkifQ=="/>
  </w:docVars>
  <w:rsids>
    <w:rsidRoot w:val="00FB39C2"/>
    <w:rsid w:val="000B4FD7"/>
    <w:rsid w:val="00103877"/>
    <w:rsid w:val="00162F8A"/>
    <w:rsid w:val="001C51CA"/>
    <w:rsid w:val="00273FBC"/>
    <w:rsid w:val="00360D7A"/>
    <w:rsid w:val="003D275C"/>
    <w:rsid w:val="003E771C"/>
    <w:rsid w:val="004D2565"/>
    <w:rsid w:val="004D3624"/>
    <w:rsid w:val="004D4B61"/>
    <w:rsid w:val="0052415A"/>
    <w:rsid w:val="005A116D"/>
    <w:rsid w:val="005A372F"/>
    <w:rsid w:val="005B4C49"/>
    <w:rsid w:val="00687E0A"/>
    <w:rsid w:val="007215FF"/>
    <w:rsid w:val="00761667"/>
    <w:rsid w:val="007B403C"/>
    <w:rsid w:val="007F75BA"/>
    <w:rsid w:val="008B4668"/>
    <w:rsid w:val="008D783C"/>
    <w:rsid w:val="0092554E"/>
    <w:rsid w:val="00981C44"/>
    <w:rsid w:val="009A78AB"/>
    <w:rsid w:val="009E719B"/>
    <w:rsid w:val="00BD017F"/>
    <w:rsid w:val="00C52643"/>
    <w:rsid w:val="00CE41D6"/>
    <w:rsid w:val="00D56B39"/>
    <w:rsid w:val="00D90FEA"/>
    <w:rsid w:val="00DD6146"/>
    <w:rsid w:val="00DF7678"/>
    <w:rsid w:val="00E54D24"/>
    <w:rsid w:val="00E93BF6"/>
    <w:rsid w:val="00FB39C2"/>
    <w:rsid w:val="014F6641"/>
    <w:rsid w:val="016320EC"/>
    <w:rsid w:val="023C37B3"/>
    <w:rsid w:val="030D2310"/>
    <w:rsid w:val="0451001E"/>
    <w:rsid w:val="04DF7CDC"/>
    <w:rsid w:val="05A056BD"/>
    <w:rsid w:val="05A14F91"/>
    <w:rsid w:val="05F41565"/>
    <w:rsid w:val="081B102B"/>
    <w:rsid w:val="08297BEC"/>
    <w:rsid w:val="08EE6740"/>
    <w:rsid w:val="0A465A5E"/>
    <w:rsid w:val="0A7B4003"/>
    <w:rsid w:val="0B375954"/>
    <w:rsid w:val="0BBE064B"/>
    <w:rsid w:val="0BE208A9"/>
    <w:rsid w:val="0C087501"/>
    <w:rsid w:val="0CA737D5"/>
    <w:rsid w:val="0D002EE5"/>
    <w:rsid w:val="0D3606B5"/>
    <w:rsid w:val="0EB61AAE"/>
    <w:rsid w:val="0FA25C3B"/>
    <w:rsid w:val="10606175"/>
    <w:rsid w:val="12962610"/>
    <w:rsid w:val="131A684E"/>
    <w:rsid w:val="1347361C"/>
    <w:rsid w:val="142C2815"/>
    <w:rsid w:val="14670B43"/>
    <w:rsid w:val="15BC3411"/>
    <w:rsid w:val="15FE7716"/>
    <w:rsid w:val="1672275E"/>
    <w:rsid w:val="16775FC6"/>
    <w:rsid w:val="16BD3139"/>
    <w:rsid w:val="16BD7459"/>
    <w:rsid w:val="17463BEB"/>
    <w:rsid w:val="17472375"/>
    <w:rsid w:val="175400B6"/>
    <w:rsid w:val="184C3483"/>
    <w:rsid w:val="18650EC2"/>
    <w:rsid w:val="195D42D9"/>
    <w:rsid w:val="197131A1"/>
    <w:rsid w:val="1B0F0EC3"/>
    <w:rsid w:val="1B3A3A66"/>
    <w:rsid w:val="1B7F0679"/>
    <w:rsid w:val="1C301DCD"/>
    <w:rsid w:val="1CB33AD0"/>
    <w:rsid w:val="1D202639"/>
    <w:rsid w:val="1DD12460"/>
    <w:rsid w:val="20234AC9"/>
    <w:rsid w:val="20F46465"/>
    <w:rsid w:val="21D31828"/>
    <w:rsid w:val="21DF1970"/>
    <w:rsid w:val="241035B6"/>
    <w:rsid w:val="246A055E"/>
    <w:rsid w:val="26960FD0"/>
    <w:rsid w:val="26BC7A25"/>
    <w:rsid w:val="292C49EE"/>
    <w:rsid w:val="299959C8"/>
    <w:rsid w:val="2AD417E1"/>
    <w:rsid w:val="2B3F716D"/>
    <w:rsid w:val="2B615564"/>
    <w:rsid w:val="2BD82C0B"/>
    <w:rsid w:val="2C1300E8"/>
    <w:rsid w:val="2C6406A8"/>
    <w:rsid w:val="2C7F0500"/>
    <w:rsid w:val="2C8A7724"/>
    <w:rsid w:val="2CE37ABA"/>
    <w:rsid w:val="2CED26E7"/>
    <w:rsid w:val="2EAE40F8"/>
    <w:rsid w:val="2EE91DEC"/>
    <w:rsid w:val="2FA554FB"/>
    <w:rsid w:val="2FF65D56"/>
    <w:rsid w:val="30717AD3"/>
    <w:rsid w:val="30D140CD"/>
    <w:rsid w:val="311D200F"/>
    <w:rsid w:val="32496611"/>
    <w:rsid w:val="3459484B"/>
    <w:rsid w:val="359758E5"/>
    <w:rsid w:val="35E11256"/>
    <w:rsid w:val="36015455"/>
    <w:rsid w:val="36D466C5"/>
    <w:rsid w:val="385555E4"/>
    <w:rsid w:val="38883C0B"/>
    <w:rsid w:val="39201A7E"/>
    <w:rsid w:val="392B4CC2"/>
    <w:rsid w:val="393C26A5"/>
    <w:rsid w:val="395B2EF3"/>
    <w:rsid w:val="3992665B"/>
    <w:rsid w:val="39B60304"/>
    <w:rsid w:val="3A053765"/>
    <w:rsid w:val="3BB70A8F"/>
    <w:rsid w:val="3C834E15"/>
    <w:rsid w:val="3CB274A9"/>
    <w:rsid w:val="3E227176"/>
    <w:rsid w:val="3E782FA8"/>
    <w:rsid w:val="3F2A1578"/>
    <w:rsid w:val="3F9133A5"/>
    <w:rsid w:val="41263FC1"/>
    <w:rsid w:val="416B1226"/>
    <w:rsid w:val="42B37AD7"/>
    <w:rsid w:val="42CF2B62"/>
    <w:rsid w:val="42FB6FC1"/>
    <w:rsid w:val="460743C1"/>
    <w:rsid w:val="46E44703"/>
    <w:rsid w:val="47A345BE"/>
    <w:rsid w:val="48FA020D"/>
    <w:rsid w:val="49780D48"/>
    <w:rsid w:val="49D224D5"/>
    <w:rsid w:val="4A183041"/>
    <w:rsid w:val="4A186A68"/>
    <w:rsid w:val="4A286DF8"/>
    <w:rsid w:val="4A7A16A2"/>
    <w:rsid w:val="4A7D10F6"/>
    <w:rsid w:val="4AD52CE0"/>
    <w:rsid w:val="4BB221F9"/>
    <w:rsid w:val="4BFC6689"/>
    <w:rsid w:val="4BFD0FED"/>
    <w:rsid w:val="4CEC648D"/>
    <w:rsid w:val="4D662315"/>
    <w:rsid w:val="4E434405"/>
    <w:rsid w:val="4F5F7C0E"/>
    <w:rsid w:val="508A00C9"/>
    <w:rsid w:val="50E84246"/>
    <w:rsid w:val="5127201F"/>
    <w:rsid w:val="51C409DE"/>
    <w:rsid w:val="52634497"/>
    <w:rsid w:val="5367660C"/>
    <w:rsid w:val="53E421E6"/>
    <w:rsid w:val="5452714F"/>
    <w:rsid w:val="559353B9"/>
    <w:rsid w:val="57C55E8A"/>
    <w:rsid w:val="582E1C82"/>
    <w:rsid w:val="59767CF7"/>
    <w:rsid w:val="5BBB382C"/>
    <w:rsid w:val="5C313AEE"/>
    <w:rsid w:val="5C4E0C1B"/>
    <w:rsid w:val="5C8B3F89"/>
    <w:rsid w:val="5CAC7619"/>
    <w:rsid w:val="5D850596"/>
    <w:rsid w:val="5DA64068"/>
    <w:rsid w:val="5E263272"/>
    <w:rsid w:val="5E385608"/>
    <w:rsid w:val="5F962286"/>
    <w:rsid w:val="610C68D8"/>
    <w:rsid w:val="619012B7"/>
    <w:rsid w:val="619568CD"/>
    <w:rsid w:val="61B74A96"/>
    <w:rsid w:val="624C2F65"/>
    <w:rsid w:val="628D57F7"/>
    <w:rsid w:val="64462101"/>
    <w:rsid w:val="64E536C8"/>
    <w:rsid w:val="66372649"/>
    <w:rsid w:val="665705F5"/>
    <w:rsid w:val="670A38BA"/>
    <w:rsid w:val="671E7365"/>
    <w:rsid w:val="67F73E3E"/>
    <w:rsid w:val="693966D8"/>
    <w:rsid w:val="69735746"/>
    <w:rsid w:val="6A707ED8"/>
    <w:rsid w:val="6B482C03"/>
    <w:rsid w:val="6BC04E8F"/>
    <w:rsid w:val="6C895281"/>
    <w:rsid w:val="6D06067F"/>
    <w:rsid w:val="6D8E6FF3"/>
    <w:rsid w:val="6EE36ECA"/>
    <w:rsid w:val="6EE90259"/>
    <w:rsid w:val="6F5C0A2B"/>
    <w:rsid w:val="6FDC1B6B"/>
    <w:rsid w:val="70D86D3F"/>
    <w:rsid w:val="71F13D46"/>
    <w:rsid w:val="720F7FD6"/>
    <w:rsid w:val="727F33AE"/>
    <w:rsid w:val="731070EB"/>
    <w:rsid w:val="73A94EA2"/>
    <w:rsid w:val="74471CA9"/>
    <w:rsid w:val="74520036"/>
    <w:rsid w:val="747E3082"/>
    <w:rsid w:val="74F3598D"/>
    <w:rsid w:val="75377F70"/>
    <w:rsid w:val="755C1784"/>
    <w:rsid w:val="75705230"/>
    <w:rsid w:val="760140DA"/>
    <w:rsid w:val="77DA4BE2"/>
    <w:rsid w:val="79975481"/>
    <w:rsid w:val="7AF661D7"/>
    <w:rsid w:val="7C80748C"/>
    <w:rsid w:val="7D496A92"/>
    <w:rsid w:val="7D847ACA"/>
    <w:rsid w:val="7DC223A1"/>
    <w:rsid w:val="7E0F7639"/>
    <w:rsid w:val="7E307C52"/>
    <w:rsid w:val="7E5971A9"/>
    <w:rsid w:val="7E7A2C7B"/>
    <w:rsid w:val="7FDD1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9"/>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annotation text"/>
    <w:basedOn w:val="1"/>
    <w:unhideWhenUsed/>
    <w:qFormat/>
    <w:uiPriority w:val="0"/>
    <w:rPr>
      <w:rFonts w:ascii="Calibri" w:hAnsi="Calibri"/>
      <w:kern w:val="0"/>
      <w:sz w:val="20"/>
      <w:szCs w:val="20"/>
    </w:rPr>
  </w:style>
  <w:style w:type="paragraph" w:styleId="6">
    <w:name w:val="Body Text"/>
    <w:basedOn w:val="1"/>
    <w:link w:val="18"/>
    <w:semiHidden/>
    <w:unhideWhenUsed/>
    <w:qFormat/>
    <w:uiPriority w:val="99"/>
    <w:pPr>
      <w:spacing w:after="120"/>
    </w:pPr>
  </w:style>
  <w:style w:type="paragraph" w:styleId="7">
    <w:name w:val="footer"/>
    <w:basedOn w:val="1"/>
    <w:link w:val="25"/>
    <w:unhideWhenUsed/>
    <w:qFormat/>
    <w:uiPriority w:val="99"/>
    <w:pPr>
      <w:tabs>
        <w:tab w:val="center" w:pos="4153"/>
        <w:tab w:val="right" w:pos="8306"/>
      </w:tabs>
      <w:snapToGrid w:val="0"/>
      <w:jc w:val="left"/>
    </w:pPr>
    <w:rPr>
      <w:sz w:val="18"/>
      <w:szCs w:val="18"/>
    </w:rPr>
  </w:style>
  <w:style w:type="paragraph" w:styleId="8">
    <w:name w:val="header"/>
    <w:basedOn w:val="1"/>
    <w:link w:val="24"/>
    <w:unhideWhenUsed/>
    <w:qFormat/>
    <w:uiPriority w:val="99"/>
    <w:pPr>
      <w:tabs>
        <w:tab w:val="center" w:pos="4153"/>
        <w:tab w:val="right" w:pos="8306"/>
      </w:tabs>
      <w:snapToGrid w:val="0"/>
      <w:jc w:val="center"/>
    </w:pPr>
    <w:rPr>
      <w:sz w:val="18"/>
      <w:szCs w:val="18"/>
    </w:rPr>
  </w:style>
  <w:style w:type="paragraph" w:styleId="9">
    <w:name w:val="Body Text 2"/>
    <w:basedOn w:val="1"/>
    <w:link w:val="20"/>
    <w:unhideWhenUsed/>
    <w:qFormat/>
    <w:uiPriority w:val="99"/>
    <w:pPr>
      <w:spacing w:after="120" w:line="480" w:lineRule="auto"/>
    </w:pPr>
  </w:style>
  <w:style w:type="paragraph" w:customStyle="1" w:styleId="12">
    <w:name w:val="标题1"/>
    <w:basedOn w:val="2"/>
    <w:link w:val="13"/>
    <w:qFormat/>
    <w:uiPriority w:val="0"/>
    <w:pPr>
      <w:keepLines w:val="0"/>
      <w:numPr>
        <w:ilvl w:val="0"/>
        <w:numId w:val="1"/>
      </w:numPr>
      <w:spacing w:before="50" w:beforeLines="50" w:after="50" w:afterLines="50" w:line="360" w:lineRule="auto"/>
      <w:jc w:val="center"/>
    </w:pPr>
    <w:rPr>
      <w:rFonts w:asciiTheme="minorEastAsia" w:hAnsiTheme="minorEastAsia" w:cstheme="majorBidi"/>
      <w:kern w:val="32"/>
      <w:szCs w:val="32"/>
    </w:rPr>
  </w:style>
  <w:style w:type="character" w:customStyle="1" w:styleId="13">
    <w:name w:val="标题1 字符"/>
    <w:basedOn w:val="11"/>
    <w:link w:val="12"/>
    <w:qFormat/>
    <w:uiPriority w:val="0"/>
    <w:rPr>
      <w:rFonts w:eastAsia="宋体" w:asciiTheme="minorEastAsia" w:hAnsiTheme="minorEastAsia" w:cstheme="majorBidi"/>
      <w:b/>
      <w:bCs/>
      <w:kern w:val="32"/>
      <w:sz w:val="44"/>
      <w:szCs w:val="32"/>
    </w:rPr>
  </w:style>
  <w:style w:type="character" w:customStyle="1" w:styleId="14">
    <w:name w:val="标题 1 字符"/>
    <w:basedOn w:val="11"/>
    <w:link w:val="2"/>
    <w:qFormat/>
    <w:uiPriority w:val="9"/>
    <w:rPr>
      <w:rFonts w:ascii="宋体" w:hAnsi="宋体" w:eastAsia="宋体" w:cs="Times New Roman"/>
      <w:b/>
      <w:bCs/>
      <w:kern w:val="44"/>
      <w:sz w:val="44"/>
      <w:szCs w:val="44"/>
    </w:rPr>
  </w:style>
  <w:style w:type="paragraph" w:customStyle="1" w:styleId="15">
    <w:name w:val="卫标题1"/>
    <w:basedOn w:val="2"/>
    <w:link w:val="16"/>
    <w:qFormat/>
    <w:uiPriority w:val="0"/>
    <w:pPr>
      <w:tabs>
        <w:tab w:val="left" w:pos="0"/>
        <w:tab w:val="left" w:pos="360"/>
        <w:tab w:val="left" w:pos="420"/>
      </w:tabs>
      <w:spacing w:line="276" w:lineRule="auto"/>
    </w:pPr>
    <w:rPr>
      <w:rFonts w:cstheme="minorBidi"/>
      <w:sz w:val="32"/>
    </w:rPr>
  </w:style>
  <w:style w:type="character" w:customStyle="1" w:styleId="16">
    <w:name w:val="卫标题1 字符"/>
    <w:basedOn w:val="11"/>
    <w:link w:val="15"/>
    <w:qFormat/>
    <w:uiPriority w:val="0"/>
    <w:rPr>
      <w:rFonts w:ascii="宋体" w:hAnsi="宋体" w:eastAsia="宋体"/>
      <w:b/>
      <w:bCs/>
      <w:kern w:val="44"/>
      <w:sz w:val="32"/>
      <w:szCs w:val="44"/>
    </w:rPr>
  </w:style>
  <w:style w:type="paragraph" w:customStyle="1" w:styleId="17">
    <w:name w:val="04-正文"/>
    <w:basedOn w:val="1"/>
    <w:qFormat/>
    <w:uiPriority w:val="0"/>
    <w:pPr>
      <w:ind w:firstLine="482"/>
    </w:pPr>
    <w:rPr>
      <w:rFonts w:ascii="宋体" w:hAnsi="宋体"/>
      <w:szCs w:val="22"/>
    </w:rPr>
  </w:style>
  <w:style w:type="character" w:customStyle="1" w:styleId="18">
    <w:name w:val="正文文本 字符"/>
    <w:basedOn w:val="11"/>
    <w:link w:val="6"/>
    <w:semiHidden/>
    <w:qFormat/>
    <w:uiPriority w:val="99"/>
    <w:rPr>
      <w:rFonts w:ascii="Times New Roman" w:hAnsi="Times New Roman" w:eastAsia="宋体" w:cs="Times New Roman"/>
      <w:szCs w:val="20"/>
    </w:rPr>
  </w:style>
  <w:style w:type="character" w:customStyle="1" w:styleId="19">
    <w:name w:val="标题 2 字符"/>
    <w:basedOn w:val="11"/>
    <w:link w:val="3"/>
    <w:qFormat/>
    <w:uiPriority w:val="0"/>
    <w:rPr>
      <w:rFonts w:asciiTheme="majorHAnsi" w:hAnsiTheme="majorHAnsi" w:eastAsiaTheme="majorEastAsia" w:cstheme="majorBidi"/>
      <w:b/>
      <w:bCs/>
      <w:sz w:val="32"/>
      <w:szCs w:val="32"/>
    </w:rPr>
  </w:style>
  <w:style w:type="character" w:customStyle="1" w:styleId="20">
    <w:name w:val="正文文本 2 字符"/>
    <w:basedOn w:val="11"/>
    <w:link w:val="9"/>
    <w:qFormat/>
    <w:uiPriority w:val="99"/>
    <w:rPr>
      <w:rFonts w:ascii="Times New Roman" w:hAnsi="Times New Roman" w:eastAsia="宋体" w:cs="Times New Roman"/>
      <w:szCs w:val="20"/>
    </w:rPr>
  </w:style>
  <w:style w:type="paragraph" w:styleId="21">
    <w:name w:val="List Paragraph"/>
    <w:basedOn w:val="1"/>
    <w:qFormat/>
    <w:uiPriority w:val="34"/>
    <w:pPr>
      <w:ind w:firstLine="420" w:firstLineChars="200"/>
    </w:pPr>
    <w:rPr>
      <w:szCs w:val="24"/>
    </w:rPr>
  </w:style>
  <w:style w:type="paragraph" w:customStyle="1" w:styleId="22">
    <w:name w:val="可研正文"/>
    <w:basedOn w:val="6"/>
    <w:qFormat/>
    <w:uiPriority w:val="0"/>
    <w:pPr>
      <w:spacing w:line="360" w:lineRule="auto"/>
      <w:ind w:firstLine="560" w:firstLineChars="200"/>
    </w:pPr>
    <w:rPr>
      <w:rFonts w:ascii="仿宋_GB2312" w:eastAsia="仿宋_GB2312"/>
      <w:sz w:val="28"/>
    </w:rPr>
  </w:style>
  <w:style w:type="paragraph" w:styleId="23">
    <w:name w:val="No Spacing"/>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24">
    <w:name w:val="页眉 字符"/>
    <w:basedOn w:val="11"/>
    <w:link w:val="8"/>
    <w:qFormat/>
    <w:uiPriority w:val="99"/>
    <w:rPr>
      <w:rFonts w:ascii="Times New Roman" w:hAnsi="Times New Roman" w:eastAsia="宋体" w:cs="Times New Roman"/>
      <w:sz w:val="18"/>
      <w:szCs w:val="18"/>
    </w:rPr>
  </w:style>
  <w:style w:type="character" w:customStyle="1" w:styleId="25">
    <w:name w:val="页脚 字符"/>
    <w:basedOn w:val="11"/>
    <w:link w:val="7"/>
    <w:qFormat/>
    <w:uiPriority w:val="99"/>
    <w:rPr>
      <w:rFonts w:ascii="Times New Roman" w:hAnsi="Times New Roman" w:eastAsia="宋体" w:cs="Times New Roman"/>
      <w:sz w:val="18"/>
      <w:szCs w:val="18"/>
    </w:rPr>
  </w:style>
  <w:style w:type="paragraph" w:customStyle="1" w:styleId="26">
    <w:name w:val="列出段落11"/>
    <w:basedOn w:val="1"/>
    <w:qFormat/>
    <w:uiPriority w:val="0"/>
    <w:pPr>
      <w:ind w:firstLine="420" w:firstLineChars="200"/>
    </w:pPr>
    <w:rPr>
      <w:rFonts w:ascii="Calibri" w:hAnsi="Calibri"/>
      <w:szCs w:val="22"/>
    </w:rPr>
  </w:style>
  <w:style w:type="character" w:customStyle="1" w:styleId="27">
    <w:name w:val="font51"/>
    <w:basedOn w:val="11"/>
    <w:qFormat/>
    <w:uiPriority w:val="0"/>
    <w:rPr>
      <w:rFonts w:hint="eastAsia" w:ascii="宋体" w:hAnsi="宋体" w:eastAsia="宋体" w:cs="宋体"/>
      <w:b/>
      <w:bCs/>
      <w:color w:val="000000"/>
      <w:sz w:val="20"/>
      <w:szCs w:val="20"/>
      <w:u w:val="none"/>
    </w:rPr>
  </w:style>
  <w:style w:type="character" w:customStyle="1" w:styleId="28">
    <w:name w:val="font61"/>
    <w:basedOn w:val="11"/>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3000</Words>
  <Characters>3169</Characters>
  <Lines>193</Lines>
  <Paragraphs>54</Paragraphs>
  <TotalTime>1</TotalTime>
  <ScaleCrop>false</ScaleCrop>
  <LinksUpToDate>false</LinksUpToDate>
  <CharactersWithSpaces>3170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2024-11-17T01:37:00Z</dcterms:created>
  <dc:creator>MI</dc:creator>
  <cp:lastModifiedBy>俞萍</cp:lastModifiedBy>
  <dcterms:modified xsi:type="dcterms:W3CDTF">2026-03-06T05:27:01Z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5DF8523293DE4F0393FEF7E49C352FDC_12</vt:lpwstr>
  </property>
  <property fmtid="{D5CDD505-2E9C-101B-9397-08002B2CF9AE}" pid="4" name="KSOTemplateDocerSaveRecord">
    <vt:lpwstr>eyJoZGlkIjoiYTg4MGVlZmFkYzYyNWI1NTkwY2QwNGYwZmIxMDQ1ZjkiLCJ1c2VySWQiOiI4Mjg5MzU3MzUifQ==</vt:lpwstr>
  </property>
</Properties>
</file>