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1. 世界卫生组织：《生物医学研究审查伦理委员会操作指南》（2000年1月）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2. 世界卫生组织：《伦理审查工作的视察与评价——生物医学研究审查伦理委员会操作指南的补充指导原则》（2002年2月）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3. 国际医学科学组织/CIOMS：《涉及人的生物医学研究的国际伦理准则（草案）》（2002年8月）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4. 世界医学联合会：《赫尔辛基宣言》（2002年修订版，2002年，2004年补充）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5. 世界医学联合会：《赫尔辛基宣言》（2013年修订版）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6. 全国人民代表大会常务委员会：《中华人民共和国药品管理法》（2001年）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7. 国家药品食品监督管理局：《药物临床试验管理规范》（2003年）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8. 国家药品食品监督管理局：《艾滋病疫苗临床研究技术知道原则》（2003年）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9. 国家药品食品监督管理局：《疫苗临床试验技术指导原则》（2004年）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10. 科学技术部、卫生部：《人胚胎干细胞研究伦理指导原则》（2004年）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11. 国家食品药品监督管理局：《医疗器械注册管理办法》（2004年）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12. 卫生部：《涉及人的生物医学研究伦理审查办法（试行）》（2007年）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3</w:t>
      </w:r>
      <w:r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  <w:t>.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 xml:space="preserve"> 国家食品药品监督管理局：《药品注册管理办法》（2007年）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4</w:t>
      </w:r>
      <w:r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  <w:t>.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 xml:space="preserve"> 国家食品药品监督管理局：《药物临床试验伦理审查工作指导原则》（2010年）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15. 国家食品药品监督管理局：《药物Ⅰ期临床试验管理指导原则（试行）》（2011年）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16. 国家食品药品监督管理局：《儿科人群化学药物药代动力学研究技术指导原则》(2013年)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17. 国家食品药品监督管理局：《医疗器械临床试验规定》（局令第5号）（2014年）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18. 国家食品药品监督管理局：《医疗器械监督管理条例》（2014年）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19. 国家食品药品监督管理局：《涉及人的生物医学研究伦理审查办法》征求意见稿2014年）</w:t>
      </w:r>
    </w:p>
    <w:p>
      <w:pPr>
        <w:widowControl/>
        <w:shd w:val="clear" w:color="auto" w:fill="FFFFFF"/>
        <w:spacing w:line="360" w:lineRule="auto"/>
        <w:ind w:left="420" w:hanging="420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20. 上海市质量技术监督局：《涉及人的生物医学研究伦理审查规范》（2015年）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21. 国家食品药品监督管理局：《医疗器械临床试验质量管理规范》（2016年）</w:t>
      </w:r>
    </w:p>
    <w:p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22. 国家卫生计生委：《涉及人的生物医学研究伦理审查办法》（2016年）</w:t>
      </w:r>
    </w:p>
    <w:p>
      <w:pPr>
        <w:spacing w:line="360" w:lineRule="auto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23. 国家药监局 国家卫生健康委《药物临床试验质量管理规范》（2020年）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9D"/>
    <w:rsid w:val="00663126"/>
    <w:rsid w:val="00C5729D"/>
    <w:rsid w:val="00E97D2C"/>
    <w:rsid w:val="3D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764</Characters>
  <Lines>6</Lines>
  <Paragraphs>1</Paragraphs>
  <TotalTime>27</TotalTime>
  <ScaleCrop>false</ScaleCrop>
  <LinksUpToDate>false</LinksUpToDate>
  <CharactersWithSpaces>897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2018-02-24T01:42:00Z</dcterms:created>
  <dc:creator>1</dc:creator>
  <cp:lastModifiedBy>刘晓茜</cp:lastModifiedBy>
  <dcterms:modified xsi:type="dcterms:W3CDTF">2021-03-05T03:30:02Z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